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logo" descr="XRK-Harness 项目徽标" title="XRK-Harness 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300"/>
        <w:jc w:val="center"/>
      </w:pPr>
      <w:r>
        <w:rPr>
          <w:rFonts w:ascii="Microsoft YaHei" w:cs="Microsoft YaHei" w:eastAsia="Microsoft YaHei" w:hAnsi="Microsoft YaHei"/>
          <w:b/>
          <w:bCs/>
          <w:color w:val="232321"/>
          <w:sz w:val="64"/>
          <w:szCs w:val="64"/>
        </w:rPr>
        <w:t xml:space="preserve">XRK-Harness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B0803C"/>
          <w:sz w:val="40"/>
          <w:szCs w:val="40"/>
        </w:rPr>
        <w:t xml:space="preserve">项目计划书 · 项目书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6B655C"/>
          <w:sz w:val="24"/>
          <w:szCs w:val="24"/>
        </w:rPr>
        <w:t xml:space="preserve">面向个人的 TypeScript 智能体运行时与服务器套件</w:t>
      </w:r>
    </w:p>
    <w:p>
      <w:pPr>
        <w:spacing w:after="80" w:before="40"/>
        <w:jc w:val="center"/>
      </w:pPr>
      <w:r>
        <w:rPr>
          <w:rFonts w:ascii="Microsoft YaHei" w:cs="Microsoft YaHei" w:eastAsia="Microsoft YaHei" w:hAnsi="Microsoft YaHei"/>
          <w:color w:val="7A5A34"/>
          <w:sz w:val="22"/>
          <w:szCs w:val="22"/>
        </w:rPr>
        <w:t xml:space="preserve">—— 向阳而生，笃光而行 ——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color w:val="B0803C"/>
          <w:sz w:val="26"/>
          <w:szCs w:val="26"/>
        </w:rPr>
        <w:t xml:space="preserve">一、行 业 背 景 与 痛 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填报信息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XRK-Harness 智能体运行时与服务器套件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所属领域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信息技术服务业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所在地区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辽宁省 沈阳市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v0.1.21（官方公开发布线）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开源协议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MIT License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技术栈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TypeScript · Node.js ≥ 26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填报日期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2026 年 8 月 26 日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232321"/>
          <w:sz w:val="32"/>
          <w:szCs w:val="32"/>
        </w:rPr>
        <w:t xml:space="preserve">目 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126"/>
      </w:tblGrid>
      <w:tr>
        <w:trPr>
          <w:tblHeader/>
        </w:trPr>
        <w:tc>
          <w:tcPr>
            <w:tcW w:type="dxa" w:w="6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章    节</w:t>
            </w:r>
          </w:p>
        </w:tc>
        <w:tc>
          <w:tcPr>
            <w:tcW w:type="dxa" w:w="21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dxa" w:w="6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一、行业背景与痛点</w:t>
            </w:r>
          </w:p>
        </w:tc>
        <w:tc>
          <w:tcPr>
            <w:tcW w:type="dxa" w:w="21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二、项目概述</w:t>
            </w:r>
          </w:p>
        </w:tc>
        <w:tc>
          <w:tcPr>
            <w:tcW w:type="dxa" w:w="21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三、产品描述与功能</w:t>
            </w:r>
          </w:p>
        </w:tc>
        <w:tc>
          <w:tcPr>
            <w:tcW w:type="dxa" w:w="21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四、目标用户与市场</w:t>
            </w:r>
          </w:p>
        </w:tc>
        <w:tc>
          <w:tcPr>
            <w:tcW w:type="dxa" w:w="21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五、竞争对手分析</w:t>
            </w:r>
          </w:p>
        </w:tc>
        <w:tc>
          <w:tcPr>
            <w:tcW w:type="dxa" w:w="21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六、技术架构与创新点</w:t>
            </w:r>
          </w:p>
        </w:tc>
        <w:tc>
          <w:tcPr>
            <w:tcW w:type="dxa" w:w="21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七、商业模式与发展规划</w:t>
            </w:r>
          </w:p>
        </w:tc>
        <w:tc>
          <w:tcPr>
            <w:tcW w:type="dxa" w:w="21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八、团队组成</w:t>
            </w:r>
          </w:p>
        </w:tc>
        <w:tc>
          <w:tcPr>
            <w:tcW w:type="dxa" w:w="21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九、风险分析与对策</w:t>
            </w:r>
          </w:p>
        </w:tc>
        <w:tc>
          <w:tcPr>
            <w:tcW w:type="dxa" w:w="21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十、结语</w:t>
            </w:r>
          </w:p>
        </w:tc>
        <w:tc>
          <w:tcPr>
            <w:tcW w:type="dxa" w:w="21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附录：项目信息一览</w:t>
            </w:r>
          </w:p>
        </w:tc>
        <w:tc>
          <w:tcPr>
            <w:tcW w:type="dxa" w:w="21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18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一、行业背景与痛点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大模型的能力正从「对话工具」跃迁为「可执行任务的智能体」，带来一个高速增长的市场，也暴露出一条明显的落地鸿沟：供给在爆发，生产却在失速。本章用可量化的行业数据说明这一矛盾，并点出 XRK-Harness 的切入点。以下数据均取自可回溯的公开权威来源（Grand View Research、MIT、Gartner、TACL 学术论文等）。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1.1 市场：从「尝鲜」走向「基础设施」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据 Grand View Research（2025 年 5 月）发布的《AI Agents Market Report》，全球 AI Agent 市场规模预计到 2030 年达到 503.1 亿美元，2025—2030 年复合增长率（CAGR）为 45.8%。以此 CAGR 倒推，2025 年市场规模约 76 亿美元。这意味着智能体正从「尝鲜」走向「基础设施」。</w:t>
      </w:r>
    </w:p>
    <w:p>
      <w:pPr>
        <w:spacing w:after="40" w:before="120" w:line="260"/>
        <w:jc w:val="center"/>
      </w:pPr>
      <w:r>
        <w:drawing>
          <wp:inline distT="0" distB="0" distL="0" distR="0">
            <wp:extent cx="5334000" cy="2647950"/>
            <wp:effectExtent t="0" r="0" b="0" l="0"/>
            <wp:docPr id="1" name="market-growth.png" descr="图 1-1  全球 AI Agent 市场规模（数据来源：Grand View Research，2025-05-06；2025 年数值为按 CAGR 反推的估算值）" title="图 1-1  全球 AI Agent 市场规模（数据来源：Grand View Research，2025-05-06；2025 年数值为按 CAGR 反推的估算值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60"/>
        <w:jc w:val="center"/>
      </w:pPr>
      <w:r>
        <w:rPr>
          <w:rFonts w:ascii="Microsoft YaHei" w:cs="Microsoft YaHei" w:eastAsia="Microsoft YaHei" w:hAnsi="Microsoft YaHei"/>
          <w:i/>
          <w:iCs/>
          <w:color w:val="6B655C"/>
          <w:sz w:val="17"/>
          <w:szCs w:val="17"/>
        </w:rPr>
        <w:t xml:space="preserve">图 1-1  全球 AI Agent 市场规模（数据来源：Grand View Research，2025-05-06；2025 年数值为按 CAGR 反推的估算值）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1.2 渗透：企业软件正在快速嵌入智能体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Gartner（2025 年 6 月）预测，到 2028 年将有 33% 的企业软件应用包含智能体（agentic AI）能力，而 2024 年这一比例不足 1%；同期，至少 15% 的日常工作决策将由智能体自主完成（2024 年为 0%）。但 Gartner 同时警示：据其对 2025 年 1 月 3,412 名 Webinar 参会者的调研，仅 19% 的组织已进行显著投资，42% 为保守投资，31% 仍在观望。</w:t>
      </w:r>
    </w:p>
    <w:p>
      <w:pPr>
        <w:spacing w:after="40" w:before="120" w:line="26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adoption.png" descr="图 1-2  企业软件智能体渗透率：2024 vs 2028 预测（数据来源：Gartner，2025-06-25）" title="图 1-2  企业软件智能体渗透率：2024 vs 2028 预测（数据来源：Gartner，2025-06-2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60"/>
        <w:jc w:val="center"/>
      </w:pPr>
      <w:r>
        <w:rPr>
          <w:rFonts w:ascii="Microsoft YaHei" w:cs="Microsoft YaHei" w:eastAsia="Microsoft YaHei" w:hAnsi="Microsoft YaHei"/>
          <w:i/>
          <w:iCs/>
          <w:color w:val="6B655C"/>
          <w:sz w:val="17"/>
          <w:szCs w:val="17"/>
        </w:rPr>
        <w:t xml:space="preserve">图 1-2  企业软件智能体渗透率：2024 vs 2028 预测（数据来源：Gartner，2025-06-25）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需求侧的渗透速度很快，但「落地质量」远未跟上，这正是行业痛点的根源。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1.3 痛点一：试点到生产，成功率极低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MIT NANDA 报告《The GenAI Divide: State of AI in Business 2025》指出：尽管企业累计投入 300—400 亿美元于生成式 AI，仍有 95% 的企业试点未能带来财务回报，只有约 5% 的整合型试点真正提取到价值。这说明失败的主因不在模型，而在工程与治理链路。</w:t>
      </w:r>
    </w:p>
    <w:p>
      <w:pPr>
        <w:spacing w:after="40" w:before="120" w:line="260"/>
        <w:jc w:val="center"/>
      </w:pPr>
      <w:r>
        <w:drawing>
          <wp:inline distT="0" distB="0" distL="0" distR="0">
            <wp:extent cx="2857500" cy="3552825"/>
            <wp:effectExtent t="0" r="0" b="0" l="0"/>
            <wp:docPr id="1" name="pilot-failure.png" descr="图 1-3  企业生成式 AI / 智能体试点结果（数据来源：MIT NANDA，《The GenAI Divide》，2025）" title="图 1-3  企业生成式 AI / 智能体试点结果（数据来源：MIT NANDA，《The GenAI Divide》，202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60"/>
        <w:jc w:val="center"/>
      </w:pPr>
      <w:r>
        <w:rPr>
          <w:rFonts w:ascii="Microsoft YaHei" w:cs="Microsoft YaHei" w:eastAsia="Microsoft YaHei" w:hAnsi="Microsoft YaHei"/>
          <w:i/>
          <w:iCs/>
          <w:color w:val="6B655C"/>
          <w:sz w:val="17"/>
          <w:szCs w:val="17"/>
        </w:rPr>
        <w:t xml:space="preserve">图 1-3  企业生成式 AI / 智能体试点结果（数据来源：MIT NANDA，《The GenAI Divide》，2025）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1.4 痛点二：项目被大量取消，成本与价值失衡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Gartner（2025 年 6 月 25 日）预测，到 2027 年底将有超过 40% 的智能体项目被取消，主因是成本攀升、商业价值不清晰或风险控制不足。Gartner 更进一步估计：在成千上万的智能体供应商中，真正具备 agentic 能力的仅约 130 家，存在明显的「agent washing」。</w:t>
      </w:r>
    </w:p>
    <w:p>
      <w:pPr>
        <w:spacing w:after="40" w:before="120" w:line="260"/>
        <w:jc w:val="center"/>
      </w:pPr>
      <w:r>
        <w:drawing>
          <wp:inline distT="0" distB="0" distL="0" distR="0">
            <wp:extent cx="5334000" cy="2114550"/>
            <wp:effectExtent t="0" r="0" b="0" l="0"/>
            <wp:docPr id="1" name="cancellation.png" descr="图 1-4  Gartner：到 2027 年底超 40% 的智能体项目将被取消（数据来源：Gartner，2025-06-25）" title="图 1-4  Gartner：到 2027 年底超 40% 的智能体项目将被取消（数据来源：Gartner，2025-06-2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60"/>
        <w:jc w:val="center"/>
      </w:pPr>
      <w:r>
        <w:rPr>
          <w:rFonts w:ascii="Microsoft YaHei" w:cs="Microsoft YaHei" w:eastAsia="Microsoft YaHei" w:hAnsi="Microsoft YaHei"/>
          <w:i/>
          <w:iCs/>
          <w:color w:val="6B655C"/>
          <w:sz w:val="17"/>
          <w:szCs w:val="17"/>
        </w:rPr>
        <w:t xml:space="preserve">图 1-4  Gartner：到 2027 年底超 40% 的智能体项目将被取消（数据来源：Gartner，2025-06-25）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1.5 痛点三：长上下文「中间迷失」，精准度下降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跨模型的能力局限同样真实存在。Liu 等人在《Lost in the Middle: How Language Models Use Long Contexts》（TACL 2024，斯坦福 / 加州伯克利 / Samaya AI）中发现：当相关信息位于输入上下文中间时，模型性能会显著下降。例如 GPT-3.5-Turbo 在多文档问答上的性能下降可超过 20%，且长上下文模型同样受此影响，呈现出「U 型」注意力曲线。</w:t>
      </w:r>
    </w:p>
    <w:p>
      <w:pPr>
        <w:spacing w:after="40" w:before="120" w:line="260"/>
        <w:jc w:val="center"/>
      </w:pPr>
      <w:r>
        <w:drawing>
          <wp:inline distT="0" distB="0" distL="0" distR="0">
            <wp:extent cx="5334000" cy="2457450"/>
            <wp:effectExtent t="0" r="0" b="0" l="0"/>
            <wp:docPr id="1" name="lost-middle.png" descr="图 1-5  长上下文「中间迷失」示意：信息位置对可用性的影响（依据 Liu et al., TACL 2024 的 U 型曲线结论绘制；纵轴为相对可用性，非论文原始刻度）" title="图 1-5  长上下文「中间迷失」示意：信息位置对可用性的影响（依据 Liu et al., TACL 2024 的 U 型曲线结论绘制；纵轴为相对可用性，非论文原始刻度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60"/>
        <w:jc w:val="center"/>
      </w:pPr>
      <w:r>
        <w:rPr>
          <w:rFonts w:ascii="Microsoft YaHei" w:cs="Microsoft YaHei" w:eastAsia="Microsoft YaHei" w:hAnsi="Microsoft YaHei"/>
          <w:i/>
          <w:iCs/>
          <w:color w:val="6B655C"/>
          <w:sz w:val="17"/>
          <w:szCs w:val="17"/>
        </w:rPr>
        <w:t xml:space="preserve">图 1-5  长上下文「中间迷失」示意：信息位置对可用性的影响（依据 Liu et al., TACL 2024 的 U 型曲线结论绘制；纵轴为相对可用性，非论文原始刻度）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因此，「把上下文当作稀缺资源来治理」而非「一味堆大窗口」，成为智能体工程化的关键之一。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1.6 痛点归纳与机会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行业痛点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XRK-Harness 的回应</w:t>
            </w:r>
          </w:p>
        </w:tc>
      </w:tr>
      <w:t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编排与集成复杂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预置接线 minimal / harness / server 只做组合，不写业务，开箱即用。</w:t>
            </w:r>
          </w:p>
        </w:tc>
      </w:tr>
      <w:t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会话不可追溯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以会话事件为唯一真源，长会话可压缩、可导出、可复盘。</w:t>
            </w:r>
          </w:p>
        </w:tc>
      </w:tr>
      <w:t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评估与可观测缺失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工具流水线 + 状态/视图分离，链路清晰；能力矩阵诚实三态标注。</w:t>
            </w:r>
          </w:p>
        </w:tc>
      </w:tr>
      <w:t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上下文不受控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长会话换窗压缩，壳上可见 token 与上下文压力，缓解「中间迷失」。</w:t>
            </w:r>
          </w:p>
        </w:tc>
      </w:tr>
      <w:t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厂商锁定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厂商中立的多模型 Registry，支持 openai / anthropic / gemini 等协议。</w:t>
            </w:r>
          </w:p>
        </w:tc>
      </w:tr>
      <w:t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数据与权限风险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本地优先 + 三级权限预设与策略放行，敏感数据默认本机。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二、项目概述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XRK-Harness 是一套面向个人开发者与小型团队的智能体（Agent）运行时与服务器套件。它以会话（Session）为唯一真源，用纯 TypeScript 构建，运行于 Node.js 26 及以上版本，旨在让「每个人都能低成本拥有自己的智能体」。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项目提供一条命令行（xrkh run）与一个网页（xrkh web / serve）双入口：既能在终端里快速验证想法，也能在浏览器中完成模型配置、会话管理、工具与权限调参、插件挂载等日常操作。整体遵循「可组合」原则——最小、完整、服务三套预置接线只做组合、不写业务逻辑，开发者按需拼装，即可从零到一搭建可运行的智能体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2.1 项目定位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开源、本地优先、TypeScript 原生的个人智能体运行时与服务器套件。以会话事件日志为对话真源，通过可组合预置接线与可扩展插件体系，承载个人助理、研究助手、知识工作台等场景。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2.2 核心价值主张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价值维度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具体体现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可信可溯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会话事件为唯一真源，长会话可压缩、可导出、可复盘。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本地优先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密钥与会话默认落在本机 ~/.xrk，数据边界可控。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可组合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minimal / harness / server 预置只接线、不写业务，按需拼装。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可扩展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进程插件、MCP、社区客户端均可挂载，生态开放。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诚实边界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能力矩阵用「能跑 / 未稳 / 未做」三态对标，交付即注明现状。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三、产品描述与功能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3.1 产品形态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dxa" w:w="68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命令行</w:t>
            </w:r>
          </w:p>
        </w:tc>
        <w:tc>
          <w:tcPr>
            <w:tcW w:type="dxa" w:w="68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xrkh run：终端快速验证；xrkh plugin add 安装社区插件；xrkh doctor 体检。</w:t>
            </w:r>
          </w:p>
        </w:tc>
      </w:tr>
      <w:tr>
        <w:tc>
          <w:tcPr>
            <w:tcW w:type="dxa" w:w="22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网页</w:t>
            </w:r>
          </w:p>
        </w:tc>
        <w:tc>
          <w:tcPr>
            <w:tcW w:type="dxa" w:w="68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xrkh web / serve：浏览器完成模型与密钥配置、会话管理、工具与权限调参、插件挂载。</w:t>
            </w:r>
          </w:p>
        </w:tc>
      </w:tr>
      <w:tr>
        <w:tc>
          <w:tcPr>
            <w:tcW w:type="dxa" w:w="22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对外 CLI 包</w:t>
            </w:r>
          </w:p>
        </w:tc>
        <w:tc>
          <w:tcPr>
            <w:tcW w:type="dxa" w:w="68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@xrkseek/harness-cli（主命令 xrkh，亦 xrk-harness），npm 一键全局安装。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3.2 核心能力矩阵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会话真源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append-only 事件日志，可重建模型可见输入；turn / loop 短命。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工具流水线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pre → guards → execute → post → finalize → settle；无全局代理，链路清晰。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投影与压缩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状态/视图分离；长会话换窗压缩，壳上可见 token 与上下文压力。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多厂商模型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LLM Registry（openai-chat / anthropic-messages / openai-responses / gemini）。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权限与政策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只读、工作区写、完全访问三级预设；shell 等按策略放行。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MCP 支持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stdio / streamable-http；在设置中配置并热挂载。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可组合预置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minimal / harness / server 三种接线，只做组合不写业务逻辑。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社区生态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npm 社区包一键安装；自研 Host 兼容容器接入。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产品壳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Conversation、附件、子代理、@file/@session 引用、Session 日志导出。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3.3 典型使用流程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全局安装 CLI：npm install -g @xrkseek/harness-cli；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在任意工作目录启动：xrkh web（默认 harness 预置）；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进入设置 → 模型 / 凭据，配置模型与密钥；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按需安装插件：xrkh plugin add &lt;包名&gt;；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在会话中委派任务，长任务可用 todo 维护计划，必要时 /compact 换窗压缩；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查看工具卡片、审批、提问与 Session 日志，掌控执行全过程。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四、目标用户与市场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4.1 用户画像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典型需求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独立开发者 / 极客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低成本部署自有智能体，掌控模型与数据。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研究与学习者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可复盘的会话、可压缩的长上下文，便于实验与教学。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知识工作者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把重复性工作交给智能体，专注判断与决策。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小团队 / 私有化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数据不出内网，按需扩展工具与插件。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4.2 应用场景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个人助理：聚合多个模型与工具，辅助写作、检索、总结；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研究实验台：多厂商模型对比、会话溯源、能力边界验证；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知识工作台：@file / @session 引用，跨会话 prepare，沉淀专属工作流；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企业内部工具：私有化部署，策略内控，敏感数据不出内网。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4.3 市场空间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全球 Agent 框架与工作流平台持续升温，开源方案与平台化方案并行发展。个人开发者与小型团队对「自主可控、可组合、本地优先」的运行时存在真实且持续增长的需求。相比绑定单一模型或单一厂商的云端平台，本项目的差异化在于开源、厂商中立、数据本地化与诚实的能力披露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五、竞争对手分析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5.1 竞品格局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当前主要竞争者可分为三类：框架类（如 OpenAI Agents SDK、LangGraph、AutoGen、CrewAI）、工作流平台类（如 Dify、Coze、n8n、RAGFlow）、终端智能体类（如 Claude Code、Cursor）。它们各有侧重：框架强调底层编排，平台强调低门槛可视化，终端智能体强调即开即用。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5.2 对比矩阵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 / 局限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OpenAI Agents SDK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上手快，但主要面向 OpenAI 模型，多厂商与本地优先较弱。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LangGraph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以状态图建模 workflow，功能强、学习曲线较陡；偏 Python 生态。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AutoGen / CrewAI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多智能体协作范式成熟；部分方案更适合研究/原型，生产成熟度不一。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Dify / Coze / n8n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低门槛可视化平台；适合业务人员，但常绑定平台、数据与厂商。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Claude Code / Cursor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终端/IDE 智能体，体验佳；深度绑定具体厂商与模型。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5.3 差异化优势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TypeScript 原生 + Node ≥ 26：面向现代前端/Node 开发者，工具链一致；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会话真源 + 事件溯源：对话可重建、可压缩、可导出，可追溯性突出；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厂商中立的多模型 Registry：openai / anthropic / gemini 等多协议接入；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本地优先与隐私：默认本机落盘，数据边界可控，契合私有化诉求；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诚实能力边界：以「能跑 / 未稳 / 未做」三态标注，交付与预期一致；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可组合 + 可扩展：预置只接线，插件、MCP、社区客户端皆可挂载。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六、技术架构与创新点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6.1 总体架构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项目采用 Monorepo 结构：应用层（apps）聚焦 CLI 与产品壳；包层（packages）沉淀会话、工具、模型、执行、工作区与策略等内核能力；预置层（presets）只做组合接线；扩展层（extensions）承载进程插件。整体分层清晰、依赖单向。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apps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cli（命令入口）、web（产品壳）、console（验证台）。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packages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core、session、protocol、llm、mcp、exec、workspace、policy 等内核能力。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presets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minimal / harness / server：只组合接线，不含业务逻辑。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extensions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进程插件：tools、prompt、commands、policy、llm 等，按需挂载。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6.2 关键技术点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会话事件为真源：模型可见输入可由事件日志重建，turn / loop 短命；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工具流水线：pre → guards → execute → post → finalize → settle，链路明确、可审计；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投影与压缩：状态/视图分离，长上下文换窗压缩并展示 token 与上下文压力；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多模型 Registry：多协议适配，厂商中立；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权限三级预设 + 策略：只读、工作区写、完全访问，shell 等按策略放行；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Host + Face：HTTP、Unary RPC、双 WebSocket，浏览器产品壳随 CLI 提供；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MCP 与社区生态：stdio / streamable-http 热挂载，插件易装易卸；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Web 端到端：Playwright 用例覆盖产品壳主路径。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6.3 创新点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以会话事件为唯一真源，重塑「对话即数据」的可信模型，兼顾可追溯与长上下文；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可组合预置 + 插件体系，把「接线」与「业务」解耦，降低上手与维护成本；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厂商中立的多模型 Registry，避免单一厂商锁定；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本地优先 + 三级权限策略，兼顾自主可控与安全；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以「能跑 / 未稳 / 未做」三态公开能力边界，建立用户信任。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七、商业模式与发展规划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7.1 商业模式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方面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规划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核心开源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以 MIT License 开源运行时与核心能力，面向个人与开发者免费使用。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社区生态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开放插件与社区客户端接入，形成可扩展的工具生态。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增值方向（远期）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面向团队的私有化部署、托管服务、专业支持与定制化扩展。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7.2 当前进展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项目主流路径已进入「能跑」状态：内核（Session、Agent、工具、HTTP、Host Face、MCP）可用；多厂商 LLM Registry 可用；社区客户端经自研兼容容器接入；产品网页与浏览器端到端测试（Playwright）覆盖主路径；对外 CLI 包 @xrkseek/harness-cli 已发布至 v0.1.21。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7.3 实施规划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26"/>
        <w:gridCol w:w="2500"/>
      </w:tblGrid>
      <w:tr>
        <w:trPr>
          <w:tblHeader/>
        </w:trP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重点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阶段一 · 夯实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内核稳定、会话持久化、产品壳主路径、端到端测试。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形成可稳定运行的 v0.1.x 公开发行线。</w:t>
            </w:r>
          </w:p>
        </w:tc>
      </w:tr>
      <w:t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阶段二 · 生态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插件市场、MCP 热挂载、社区客户端兼容、调用链增强。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开放可扩展，社区可共建。</w:t>
            </w:r>
          </w:p>
        </w:tc>
      </w:tr>
      <w:t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阶段三 · 场景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知识工作台、研究助手、多厂商模型对照、权限策略深化。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围绕真实场景沉淀工作流。</w:t>
            </w:r>
          </w:p>
        </w:tc>
      </w:tr>
      <w:t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阶段四 · 服务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团队私有化部署、托管服务、专业支持。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形成可持续的商业闭环。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7.4 近期里程碑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稳定 v0.1.x 发布线，持续完善文档与能力矩阵；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开放插件与社区接入，沉淀真实应用案例；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深化安全与权限策略，面向私有化场景打磨；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建立用户反馈闭环，以诚实边界与可追溯赢得信任。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八、团队组成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（下表为团队组成建议模板，请根据实际成员填写：姓名、院校/单位、专业、分工、职责。）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院校 / 单位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专业 / 方向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分工与职责</w:t>
            </w:r>
          </w:p>
        </w:tc>
      </w:tr>
      <w:t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（姓名）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（院校）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（专业）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项目负责人 · 架构与核心开发</w:t>
            </w:r>
          </w:p>
        </w:tc>
      </w:tr>
      <w:t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（姓名）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（院校）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（专业）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产品与前端（产品壳 / 交互）</w:t>
            </w:r>
          </w:p>
        </w:tc>
      </w:tr>
      <w:t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（姓名）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（院校）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（专业）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模型接入与算法 / 测试</w:t>
            </w:r>
          </w:p>
        </w:tc>
      </w:tr>
      <w:t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（姓名）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（院校）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（专业）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社区与运营 / 文档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8.1 团队优势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全栈 TypeScript 能力，覆盖内核、产品壳与社区接入；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清晰的分层架构与文档沉淀，便于协作与可持续维护；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开源与社区导向，注重能力边界与用户信任。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九、风险分析与对策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风险描述与应对思路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大模型与框架迭代快。对策：厂商中立 Registry，抽象适配层，降低耦合；以测试保障主路径稳定。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市场风险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竞品众多、同质化。对策：聚焦「本地优先 + 会话真源 + 诚实边界」差异化，深耕个人与私有化场景。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安全与隐私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智能体执行侧风险。对策：三级权限预设 + 策略放行，敏感数据默认本机；披露能力边界与安全清单。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商业化风险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开源项目盈利路径待验证。对策：先以开源聚生态与口碑，再谨慎推进团队私有化与托管服务。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9.1 应对原则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保持「能跑 / 未稳 / 未做」的诚实能力矩阵，迭代公开；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以测试与全链路审计保障工程质量；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优先满足个人与私有化场景的真实刚需，再谈规模化。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十、结语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XRK-Harness 以「向阳而生，笃光而行」为理念，坚持开源、本地优先、厂商中立与诚实披露，致力于让每个人都能低成本拥有属于自己的智能体。项目不追求功能的堆砌，而是把会话真源、可组合架构、诚实边界这三件事做扎实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我们期待与更多开发者、研究者一起，把这套运行时打磨成可信、可扩展、可长期使用的个人智能体基座。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附录：项目信息一览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XRK-Harness（XRK 智能体运行时与服务器套件）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所属领域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信息技术服务业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所在地区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辽宁省 沈阳市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开源协议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MIT License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技术栈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TypeScript · Node.js ≥ 26 · pnpm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对外 CLI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@xrkseek/harness-cli（主命令 xrkh，亦 xrk-harness）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v0.1.21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填报日期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2026 年 8 月 26 日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核心定位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开源、本地优先、厂商中立的个人智能体运行时与服务器套件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官方网站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https://github.com/xrkseek/XRK-harness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color w:val="6B655C"/>
          <w:sz w:val="18"/>
          <w:szCs w:val="18"/>
        </w:rPr>
        <w:t xml:space="preserve">注：以上版本、能力、竞品与规划信息基于项目文档与公开资料整理。行业背景与痛点数据均取自可回溯的公开权威来源：Grand View Research（AI Agents Market Report，2025-05-06）、MIT NANDA（《The GenAI Divide: State of AI in Business 2025》）、Gartner（2025-06-25 预测）、Liu 等（《Lost in the Middle》，TACL 2024）。图表中标注「估算」「示意」的数值，为基于上述来源的推导或示意，非原文原始刻度。其余未经核实、来源为转述性博客的数据一律未采用。填报时如需调整，可在 Word 中直接修改。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655C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B655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655C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6B655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655C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DBD" w:sz="4" w:space="2"/>
      </w:pBdr>
      <w:spacing w:after="60"/>
      <w:jc w:val="right"/>
    </w:pPr>
    <w:r>
      <w:rPr>
        <w:rFonts w:ascii="Microsoft YaHei" w:cs="Microsoft YaHei" w:eastAsia="Microsoft YaHei" w:hAnsi="Microsoft YaHei"/>
        <w:color w:val="6B655C"/>
        <w:sz w:val="16"/>
        <w:szCs w:val="16"/>
      </w:rPr>
      <w:t xml:space="preserve">XRK-Harness 项目计划书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60" w:hanging="220"/>
      </w:pPr>
      <w:rPr>
        <w:color w:val="B0803C"/>
      </w:rPr>
    </w:lvl>
    <w:lvl w:ilvl="1" w15:tentative="1">
      <w:start w:val="1"/>
      <w:numFmt w:val="bullet"/>
      <w:lvlText w:val="◦"/>
      <w:lvlJc w:val="left"/>
      <w:pPr>
        <w:ind w:left="9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23232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7A5A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f2fe7f779502543f649869508581e911bd4221.png"/><Relationship Id="rId10" Type="http://schemas.openxmlformats.org/officeDocument/2006/relationships/image" Target="media/0be787ae8b02ad899d12ca277e123b8c105af8ae.png"/><Relationship Id="rId11" Type="http://schemas.openxmlformats.org/officeDocument/2006/relationships/image" Target="media/d6b7e9dfc6e968e8fa7d687b2310e174d1029817.png"/><Relationship Id="rId12" Type="http://schemas.openxmlformats.org/officeDocument/2006/relationships/image" Target="media/97fedaedd76e9c061370b5507bc1ca26501cb209.png"/><Relationship Id="rId13" Type="http://schemas.openxmlformats.org/officeDocument/2006/relationships/image" Target="media/6c68a7878bcbea698ef2553ce4e559159c9d1274.png"/><Relationship Id="rId14" Type="http://schemas.openxmlformats.org/officeDocument/2006/relationships/image" Target="media/8103b9d92ff04bf23d891b833910bae257febe2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XRK-Harness 项目计划书</dc:title>
  <dc:creator>XRK-Harness 团队</dc:creator>
  <dc:description>面向个人的 TypeScript 智能体运行时与服务器套件项目书</dc:description>
  <cp:lastModifiedBy>Un-named</cp:lastModifiedBy>
  <cp:revision>1</cp:revision>
  <dcterms:created xsi:type="dcterms:W3CDTF">2026-08-26T13:23:22.051Z</dcterms:created>
  <dcterms:modified xsi:type="dcterms:W3CDTF">2026-08-26T13:23:22.052Z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