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PRODUCT OVERVIEW  /  EVIDENCE REVIEW</w:t>
      </w:r>
    </w:p>
    <w:p>
      <w:pPr>
        <w:pStyle w:val="Title"/>
      </w:pPr>
      <w:r>
        <w:t>CHOOGuard</w:t>
        <w:br/>
        <w:t>제품 개요와 타당성 검토</w:t>
      </w:r>
    </w:p>
    <w:p>
      <w:pPr>
        <w:pStyle w:val="Subtitle"/>
      </w:pPr>
      <w:r>
        <w:t>철도 비상대응 운영안 설계·검토 실험실</w:t>
      </w:r>
    </w:p>
    <w:p>
      <w:pPr/>
      <w:r>
        <w:t>문제·타겟·시간·사용자·시장·기술을 재검토한 의사결정용 문서</w:t>
      </w:r>
    </w:p>
    <w:p>
      <w:pPr>
        <w:pStyle w:val="Heading2"/>
      </w:pPr>
      <w:r>
        <w:t>제품 한 문장</w:t>
      </w:r>
    </w:p>
    <w:p>
      <w:r>
        <w:t>합동훈련 작성 담당자가 실제 공간·매뉴얼·자원 제약 안에서 기관·팀·차량·업무를 RTS처럼 운영하고, 대안을 분기·비교해 선택한 운영안을 근거가 연결된 훈련 시나리오·대본으로 전환하는 Unity PC 도구.</w:t>
      </w:r>
    </w:p>
    <w:p>
      <w:pPr>
        <w:pStyle w:val="Heading2"/>
      </w:pPr>
      <w:r>
        <w:t>검토 결론</w:t>
      </w:r>
    </w:p>
    <w:tbl>
      <w:tblPr>
        <w:tblW w:type="auto" w:w="0"/>
        <w:jc w:val="center"/>
        <w:tblLayout w:type="fixed"/>
        <w:tblLook w:firstColumn="1" w:firstRow="1" w:lastColumn="0" w:lastRow="0" w:noHBand="0" w:noVBand="1" w:val="04A0"/>
      </w:tblPr>
      <w:tblGrid>
        <w:gridCol w:w="2154"/>
        <w:gridCol w:w="7710"/>
      </w:tblGrid>
      <w:tr>
        <w:trPr>
          <w:tblHeader/>
          <w:cantSplit/>
        </w:trPr>
        <w:tc>
          <w:tcPr>
            <w:tcW w:type="dxa" w:w="2154"/>
            <w:vAlign w:val="center"/>
            <w:tcMar>
              <w:top w:w="80" w:type="dxa"/>
              <w:left w:w="95" w:type="dxa"/>
              <w:bottom w:w="80" w:type="dxa"/>
              <w:right w:w="95" w:type="dxa"/>
            </w:tcMar>
            <w:shd w:fill="172B4D"/>
          </w:tcPr>
          <w:p>
            <w:pPr>
              <w:spacing w:after="40" w:line="269" w:lineRule="auto"/>
            </w:pPr>
            <w:r>
              <w:rPr>
                <w:b/>
                <w:color w:val="FFFFFF"/>
                <w:sz w:val="18"/>
              </w:rPr>
              <w:t>판정 대상</w:t>
            </w:r>
          </w:p>
        </w:tc>
        <w:tc>
          <w:tcPr>
            <w:tcW w:type="dxa" w:w="7710"/>
            <w:vAlign w:val="center"/>
            <w:tcMar>
              <w:top w:w="80" w:type="dxa"/>
              <w:left w:w="95" w:type="dxa"/>
              <w:bottom w:w="80" w:type="dxa"/>
              <w:right w:w="95" w:type="dxa"/>
            </w:tcMar>
            <w:shd w:fill="172B4D"/>
          </w:tcPr>
          <w:p>
            <w:pPr>
              <w:spacing w:after="40" w:line="269" w:lineRule="auto"/>
            </w:pPr>
            <w:r>
              <w:rPr>
                <w:b/>
                <w:color w:val="FFFFFF"/>
                <w:sz w:val="18"/>
              </w:rPr>
              <w:t>현재 결론</w:t>
            </w:r>
          </w:p>
        </w:tc>
      </w:tr>
      <w:tr>
        <w:trPr>
          <w:cantSplit/>
        </w:trPr>
        <w:tc>
          <w:tcPr>
            <w:tcW w:type="dxa" w:w="2154"/>
            <w:vAlign w:val="center"/>
            <w:tcMar>
              <w:top w:w="80" w:type="dxa"/>
              <w:left w:w="95" w:type="dxa"/>
              <w:bottom w:w="80" w:type="dxa"/>
              <w:right w:w="95" w:type="dxa"/>
            </w:tcMar>
          </w:tcPr>
          <w:p>
            <w:pPr>
              <w:spacing w:after="40" w:line="269" w:lineRule="auto"/>
            </w:pPr>
            <w:r>
              <w:rPr>
                <w:b w:val="0"/>
                <w:color w:val="172B4D"/>
                <w:sz w:val="18"/>
              </w:rPr>
              <w:t>문제 분야</w:t>
            </w:r>
          </w:p>
        </w:tc>
        <w:tc>
          <w:tcPr>
            <w:tcW w:type="dxa" w:w="7710"/>
            <w:vAlign w:val="center"/>
            <w:tcMar>
              <w:top w:w="80" w:type="dxa"/>
              <w:left w:w="95" w:type="dxa"/>
              <w:bottom w:w="80" w:type="dxa"/>
              <w:right w:w="95" w:type="dxa"/>
            </w:tcMar>
          </w:tcPr>
          <w:p>
            <w:pPr>
              <w:spacing w:after="40" w:line="269" w:lineRule="auto"/>
            </w:pPr>
            <w:r>
              <w:rPr>
                <w:b w:val="0"/>
                <w:color w:val="172B4D"/>
                <w:sz w:val="18"/>
              </w:rPr>
              <w:t>다기관 훈련·매뉴얼 검토의 필요에 공개 근거가 있다.</w:t>
            </w:r>
          </w:p>
        </w:tc>
      </w:tr>
      <w:tr>
        <w:trPr>
          <w:cantSplit/>
        </w:trPr>
        <w:tc>
          <w:tcPr>
            <w:tcW w:type="dxa" w:w="2154"/>
            <w:vAlign w:val="center"/>
            <w:tcMar>
              <w:top w:w="80" w:type="dxa"/>
              <w:left w:w="95" w:type="dxa"/>
              <w:bottom w:w="80" w:type="dxa"/>
              <w:right w:w="95" w:type="dxa"/>
            </w:tcMar>
            <w:shd w:fill="F1F5F7"/>
          </w:tcPr>
          <w:p>
            <w:pPr>
              <w:spacing w:after="40" w:line="269" w:lineRule="auto"/>
            </w:pPr>
            <w:r>
              <w:rPr>
                <w:b w:val="0"/>
                <w:color w:val="172B4D"/>
                <w:sz w:val="18"/>
              </w:rPr>
              <w:t>제품 효용</w:t>
            </w:r>
          </w:p>
        </w:tc>
        <w:tc>
          <w:tcPr>
            <w:tcW w:type="dxa" w:w="7710"/>
            <w:vAlign w:val="center"/>
            <w:tcMar>
              <w:top w:w="80" w:type="dxa"/>
              <w:left w:w="95" w:type="dxa"/>
              <w:bottom w:w="80" w:type="dxa"/>
              <w:right w:w="95" w:type="dxa"/>
            </w:tcMar>
            <w:shd w:fill="F1F5F7"/>
          </w:tcPr>
          <w:p>
            <w:pPr>
              <w:spacing w:after="40" w:line="269" w:lineRule="auto"/>
            </w:pPr>
            <w:r>
              <w:rPr>
                <w:b w:val="0"/>
                <w:color w:val="172B4D"/>
                <w:sz w:val="18"/>
              </w:rPr>
              <w:t>RTS의 추가 가치·총시간 절감·재사용 의사는 미검증이다.</w:t>
            </w:r>
          </w:p>
        </w:tc>
      </w:tr>
      <w:tr>
        <w:trPr>
          <w:cantSplit/>
        </w:trPr>
        <w:tc>
          <w:tcPr>
            <w:tcW w:type="dxa" w:w="2154"/>
            <w:vAlign w:val="center"/>
            <w:tcMar>
              <w:top w:w="80" w:type="dxa"/>
              <w:left w:w="95" w:type="dxa"/>
              <w:bottom w:w="80" w:type="dxa"/>
              <w:right w:w="95" w:type="dxa"/>
            </w:tcMar>
          </w:tcPr>
          <w:p>
            <w:pPr>
              <w:spacing w:after="40" w:line="269" w:lineRule="auto"/>
            </w:pPr>
            <w:r>
              <w:rPr>
                <w:b w:val="0"/>
                <w:color w:val="172B4D"/>
                <w:sz w:val="18"/>
              </w:rPr>
              <w:t>기술·현장 정확도</w:t>
            </w:r>
          </w:p>
        </w:tc>
        <w:tc>
          <w:tcPr>
            <w:tcW w:type="dxa" w:w="7710"/>
            <w:vAlign w:val="center"/>
            <w:tcMar>
              <w:top w:w="80" w:type="dxa"/>
              <w:left w:w="95" w:type="dxa"/>
              <w:bottom w:w="80" w:type="dxa"/>
              <w:right w:w="95" w:type="dxa"/>
            </w:tcMar>
          </w:tcPr>
          <w:p>
            <w:pPr>
              <w:spacing w:after="40" w:line="269" w:lineRule="auto"/>
            </w:pPr>
            <w:r>
              <w:rPr>
                <w:b w:val="0"/>
                <w:color w:val="172B4D"/>
                <w:sz w:val="18"/>
              </w:rPr>
              <w:t>도구 후보와 방법론은 있지만 대상 현장 실행·검증은 미완료다.</w:t>
            </w:r>
          </w:p>
        </w:tc>
      </w:tr>
      <w:tr>
        <w:trPr>
          <w:cantSplit/>
        </w:trPr>
        <w:tc>
          <w:tcPr>
            <w:tcW w:type="dxa" w:w="2154"/>
            <w:vAlign w:val="center"/>
            <w:tcMar>
              <w:top w:w="80" w:type="dxa"/>
              <w:left w:w="95" w:type="dxa"/>
              <w:bottom w:w="80" w:type="dxa"/>
              <w:right w:w="95" w:type="dxa"/>
            </w:tcMar>
            <w:shd w:fill="F1F5F7"/>
          </w:tcPr>
          <w:p>
            <w:pPr>
              <w:spacing w:after="40" w:line="269" w:lineRule="auto"/>
            </w:pPr>
            <w:r>
              <w:rPr>
                <w:b w:val="0"/>
                <w:color w:val="172B4D"/>
                <w:sz w:val="18"/>
              </w:rPr>
              <w:t>투자·개발 의사결정</w:t>
            </w:r>
          </w:p>
        </w:tc>
        <w:tc>
          <w:tcPr>
            <w:tcW w:type="dxa" w:w="7710"/>
            <w:vAlign w:val="center"/>
            <w:tcMar>
              <w:top w:w="80" w:type="dxa"/>
              <w:left w:w="95" w:type="dxa"/>
              <w:bottom w:w="80" w:type="dxa"/>
              <w:right w:w="95" w:type="dxa"/>
            </w:tcMar>
            <w:shd w:fill="F1F5F7"/>
          </w:tcPr>
          <w:p>
            <w:pPr>
              <w:spacing w:after="40" w:line="269" w:lineRule="auto"/>
            </w:pPr>
            <w:r>
              <w:rPr>
                <w:b w:val="0"/>
                <w:color w:val="172B4D"/>
                <w:sz w:val="18"/>
              </w:rPr>
              <w:t>한 작성팀·대표 현장·공조 흐름의 제한된 실증을 진행한다.</w:t>
            </w:r>
          </w:p>
        </w:tc>
      </w:tr>
    </w:tbl>
    <w:p/>
    <w:p>
      <w:r>
        <w:t>운영 시뮬레이션이 본체다. 로그는 검토 근거이고, 대본은 그 설계 과정의 결과물이다. 무료 에셋은 구매비를 줄이지만 정확도·검수 비용을 없애지 않는다.</w:t>
      </w:r>
    </w:p>
    <w:p>
      <w:pPr>
        <w:pStyle w:val="Heading2"/>
      </w:pPr>
      <w:r>
        <w:t>핵심 흐름</w:t>
      </w:r>
    </w:p>
    <w:p>
      <w:r>
        <w:t>운영안 A 실행 → 충돌·대기 확인 → B로 수정 → 동일·변형 조건 비교 → 작성자 선택 → 검토 가능한 대본·실행형 시나리오</w:t>
      </w:r>
    </w:p>
    <w:p>
      <w:r>
        <w:t>증거 상태: 데스크리서치 수행. 인터뷰·시간 계측·사용자 비교·Unity/물리 실행·기관 수용은 NOT_RUN. 내부 AAA 등급을 제품 가치의 증거로 사용하지 않는다.</w:t>
      </w:r>
    </w:p>
    <w:p>
      <w:r>
        <w:br w:type="page"/>
      </w:r>
    </w:p>
    <w:p>
      <w:pPr>
        <w:pStyle w:val="Subtitle"/>
      </w:pPr>
      <w:r>
        <w:t>01  /  PROBLEM &amp; TARGET</w:t>
      </w:r>
    </w:p>
    <w:p>
      <w:pPr>
        <w:pStyle w:val="Heading1"/>
      </w:pPr>
      <w:r>
        <w:t>문제를 솔루션보다 먼저 정의한다</w:t>
      </w:r>
    </w:p>
    <w:p>
      <w:pPr>
        <w:pStyle w:val="Heading2"/>
      </w:pPr>
      <w:r>
        <w:t>핵심 문제</w:t>
      </w:r>
    </w:p>
    <w:p>
      <w:r>
        <w:t>기관별 업무·자원·보고·시설 조건을 수정할 때, 그 변경이 후속 작업·기관 간 인계·현장 이동에 만드는 영향을 싸게 검토하고, 채택한 이유를 최종 대본까지 추적하기 어렵다는 문제다. 이 고객에게 얼마나 자주·크게 발생하는지는 아직 실측하지 않았다.</w:t>
      </w:r>
    </w:p>
    <w:p>
      <w:r>
        <w:t>행정안전부는 역할 숙지와 매뉴얼 점검을 훈련 목적으로 제시한다. 코레일의 2026년 3월 11일 훈련은 새벽 2시 5개 기관·80여 명이 참여했다. 이는 협조와 실제 훈련의 제약을 보여주지만 작성 인시나 구매 좌석을 알려주지는 않는다. [S01][S03]</w:t>
      </w:r>
    </w:p>
    <w:p>
      <w:pPr>
        <w:pStyle w:val="Heading2"/>
      </w:pPr>
      <w:r>
        <w:t>첫 타겟</w:t>
      </w:r>
    </w:p>
    <w:p>
      <w:r>
        <w:t>같은 철도 현장 또는 재사용 가능한 현장 묶음에서 다기관 합동훈련을 반복 기획하고, 기관별 업무와 대본을 통합하는 작성 책임자·실무팀.</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tcMar>
              <w:top w:w="80" w:type="dxa"/>
              <w:left w:w="95" w:type="dxa"/>
              <w:bottom w:w="80" w:type="dxa"/>
              <w:right w:w="95" w:type="dxa"/>
            </w:tcMar>
            <w:shd w:fill="172B4D"/>
          </w:tcPr>
          <w:p>
            <w:pPr>
              <w:spacing w:after="40" w:line="269" w:lineRule="auto"/>
            </w:pPr>
            <w:r>
              <w:rPr>
                <w:b/>
                <w:color w:val="FFFFFF"/>
                <w:sz w:val="18"/>
              </w:rPr>
              <w:t>역할</w:t>
            </w:r>
          </w:p>
        </w:tc>
        <w:tc>
          <w:tcPr>
            <w:tcW w:type="dxa" w:w="7597"/>
            <w:vAlign w:val="center"/>
            <w:tcMar>
              <w:top w:w="80" w:type="dxa"/>
              <w:left w:w="95" w:type="dxa"/>
              <w:bottom w:w="80" w:type="dxa"/>
              <w:right w:w="95" w:type="dxa"/>
            </w:tcMar>
            <w:shd w:fill="172B4D"/>
          </w:tcPr>
          <w:p>
            <w:pPr>
              <w:spacing w:after="40" w:line="269" w:lineRule="auto"/>
            </w:pPr>
            <w:r>
              <w:rPr>
                <w:b/>
                <w:color w:val="FFFFFF"/>
                <w:sz w:val="18"/>
              </w:rPr>
              <w:t>제품에서 얻으려는 결과</w:t>
            </w:r>
          </w:p>
        </w:tc>
      </w:tr>
      <w:tr>
        <w:trPr>
          <w:cantSplit/>
        </w:trPr>
        <w:tc>
          <w:tcPr>
            <w:tcW w:type="dxa" w:w="2268"/>
            <w:vAlign w:val="center"/>
            <w:tcMar>
              <w:top w:w="80" w:type="dxa"/>
              <w:left w:w="95" w:type="dxa"/>
              <w:bottom w:w="80" w:type="dxa"/>
              <w:right w:w="95" w:type="dxa"/>
            </w:tcMar>
          </w:tcPr>
          <w:p>
            <w:pPr>
              <w:spacing w:after="40" w:line="269" w:lineRule="auto"/>
            </w:pPr>
            <w:r>
              <w:rPr>
                <w:b w:val="0"/>
                <w:color w:val="172B4D"/>
                <w:sz w:val="18"/>
              </w:rPr>
              <w:t>작성자</w:t>
            </w:r>
          </w:p>
        </w:tc>
        <w:tc>
          <w:tcPr>
            <w:tcW w:type="dxa" w:w="7597"/>
            <w:vAlign w:val="center"/>
            <w:tcMar>
              <w:top w:w="80" w:type="dxa"/>
              <w:left w:w="95" w:type="dxa"/>
              <w:bottom w:w="80" w:type="dxa"/>
              <w:right w:w="95" w:type="dxa"/>
            </w:tcMar>
          </w:tcPr>
          <w:p>
            <w:pPr>
              <w:spacing w:after="40" w:line="269" w:lineRule="auto"/>
            </w:pPr>
            <w:r>
              <w:rPr>
                <w:b w:val="0"/>
                <w:color w:val="172B4D"/>
                <w:sz w:val="18"/>
              </w:rPr>
              <w:t>변경 영향을 발견하고 검토 가능한 운영안·대본을 완성</w:t>
            </w:r>
          </w:p>
        </w:tc>
      </w:tr>
      <w:tr>
        <w:trPr>
          <w:cantSplit/>
        </w:trPr>
        <w:tc>
          <w:tcPr>
            <w:tcW w:type="dxa" w:w="2268"/>
            <w:vAlign w:val="center"/>
            <w:tcMar>
              <w:top w:w="80" w:type="dxa"/>
              <w:left w:w="95" w:type="dxa"/>
              <w:bottom w:w="80" w:type="dxa"/>
              <w:right w:w="95" w:type="dxa"/>
            </w:tcMar>
            <w:shd w:fill="F1F5F7"/>
          </w:tcPr>
          <w:p>
            <w:pPr>
              <w:spacing w:after="40" w:line="269" w:lineRule="auto"/>
            </w:pPr>
            <w:r>
              <w:rPr>
                <w:b w:val="0"/>
                <w:color w:val="172B4D"/>
                <w:sz w:val="18"/>
              </w:rPr>
              <w:t>기관 협조자</w:t>
            </w:r>
          </w:p>
        </w:tc>
        <w:tc>
          <w:tcPr>
            <w:tcW w:type="dxa" w:w="7597"/>
            <w:vAlign w:val="center"/>
            <w:tcMar>
              <w:top w:w="80" w:type="dxa"/>
              <w:left w:w="95" w:type="dxa"/>
              <w:bottom w:w="80" w:type="dxa"/>
              <w:right w:w="95" w:type="dxa"/>
            </w:tcMar>
            <w:shd w:fill="F1F5F7"/>
          </w:tcPr>
          <w:p>
            <w:pPr>
              <w:spacing w:after="40" w:line="269" w:lineRule="auto"/>
            </w:pPr>
            <w:r>
              <w:rPr>
                <w:b w:val="0"/>
                <w:color w:val="172B4D"/>
                <w:sz w:val="18"/>
              </w:rPr>
              <w:t>자기 기관의 역할·자원·인계가 적절한지 확인</w:t>
            </w:r>
          </w:p>
        </w:tc>
      </w:tr>
      <w:tr>
        <w:trPr>
          <w:cantSplit/>
        </w:trPr>
        <w:tc>
          <w:tcPr>
            <w:tcW w:type="dxa" w:w="2268"/>
            <w:vAlign w:val="center"/>
            <w:tcMar>
              <w:top w:w="80" w:type="dxa"/>
              <w:left w:w="95" w:type="dxa"/>
              <w:bottom w:w="80" w:type="dxa"/>
              <w:right w:w="95" w:type="dxa"/>
            </w:tcMar>
          </w:tcPr>
          <w:p>
            <w:pPr>
              <w:spacing w:after="40" w:line="269" w:lineRule="auto"/>
            </w:pPr>
            <w:r>
              <w:rPr>
                <w:b w:val="0"/>
                <w:color w:val="172B4D"/>
                <w:sz w:val="18"/>
              </w:rPr>
              <w:t>검수·훈련 책임자</w:t>
            </w:r>
          </w:p>
        </w:tc>
        <w:tc>
          <w:tcPr>
            <w:tcW w:type="dxa" w:w="7597"/>
            <w:vAlign w:val="center"/>
            <w:tcMar>
              <w:top w:w="80" w:type="dxa"/>
              <w:left w:w="95" w:type="dxa"/>
              <w:bottom w:w="80" w:type="dxa"/>
              <w:right w:w="95" w:type="dxa"/>
            </w:tcMar>
          </w:tcPr>
          <w:p>
            <w:pPr>
              <w:spacing w:after="40" w:line="269" w:lineRule="auto"/>
            </w:pPr>
            <w:r>
              <w:rPr>
                <w:b w:val="0"/>
                <w:color w:val="172B4D"/>
                <w:sz w:val="18"/>
              </w:rPr>
              <w:t>가정·미해결·변경 이유를 보고 해당 훈련 사용 판단</w:t>
            </w:r>
          </w:p>
        </w:tc>
      </w:tr>
      <w:tr>
        <w:trPr>
          <w:cantSplit/>
        </w:trPr>
        <w:tc>
          <w:tcPr>
            <w:tcW w:type="dxa" w:w="2268"/>
            <w:vAlign w:val="center"/>
            <w:tcMar>
              <w:top w:w="80" w:type="dxa"/>
              <w:left w:w="95" w:type="dxa"/>
              <w:bottom w:w="80" w:type="dxa"/>
              <w:right w:w="95" w:type="dxa"/>
            </w:tcMar>
            <w:shd w:fill="F1F5F7"/>
          </w:tcPr>
          <w:p>
            <w:pPr>
              <w:spacing w:after="40" w:line="269" w:lineRule="auto"/>
            </w:pPr>
            <w:r>
              <w:rPr>
                <w:b w:val="0"/>
                <w:color w:val="172B4D"/>
                <w:sz w:val="18"/>
              </w:rPr>
              <w:t>구매·자료 책임자</w:t>
            </w:r>
          </w:p>
        </w:tc>
        <w:tc>
          <w:tcPr>
            <w:tcW w:type="dxa" w:w="7597"/>
            <w:vAlign w:val="center"/>
            <w:tcMar>
              <w:top w:w="80" w:type="dxa"/>
              <w:left w:w="95" w:type="dxa"/>
              <w:bottom w:w="80" w:type="dxa"/>
              <w:right w:w="95" w:type="dxa"/>
            </w:tcMar>
            <w:shd w:fill="F1F5F7"/>
          </w:tcPr>
          <w:p>
            <w:pPr>
              <w:spacing w:after="40" w:line="269" w:lineRule="auto"/>
            </w:pPr>
            <w:r>
              <w:rPr>
                <w:b w:val="0"/>
                <w:color w:val="172B4D"/>
                <w:sz w:val="18"/>
              </w:rPr>
              <w:t>설치·보안·유지비·자료 관리와 도입 책임 확인</w:t>
            </w:r>
          </w:p>
        </w:tc>
      </w:tr>
    </w:tbl>
    <w:p/>
    <w:p>
      <w:pPr>
        <w:pStyle w:val="Heading2"/>
      </w:pPr>
      <w:r>
        <w:t>첫 파트너의 조건</w:t>
      </w:r>
    </w:p>
    <w:p>
      <w:r>
        <w:t>최근 대본·수정 기록, 적용 매뉴얼 판본, 허용된 현장·자원 입력과 실제 검수 시간을 제공할 수 있어야 한다. 정확한 직명·구매자·승인자는 인터뷰로 확인한다. 일반 게이머·훈련 참가자 전체를 초기 고객으로 잡지 않는다.</w:t>
      </w:r>
    </w:p>
    <w:p>
      <w:pPr>
        <w:pStyle w:val="Heading2"/>
      </w:pPr>
      <w:r>
        <w:t>검증할 사용 상황</w:t>
      </w:r>
    </w:p>
    <w:p>
      <w:r>
        <w:t>“합동훈련의 조건이 바뀌었을 때, 업무·정보·공간의 충돌을 확인하고 대안을 비교해 관계기관이 검토할 수 있는 운영안과 대본을 다시 만들고 싶다.”</w:t>
      </w:r>
    </w:p>
    <w:p>
      <w:r>
        <w:br w:type="page"/>
      </w:r>
    </w:p>
    <w:p>
      <w:pPr>
        <w:pStyle w:val="Subtitle"/>
      </w:pPr>
      <w:r>
        <w:t>02  /  TIME &amp; WORKFLOW</w:t>
      </w:r>
    </w:p>
    <w:p>
      <w:pPr>
        <w:pStyle w:val="Heading1"/>
      </w:pPr>
      <w:r>
        <w:t>초안 속도가 아니라 총노력을 측정한다</w:t>
      </w:r>
    </w:p>
    <w:p>
      <w:r>
        <w:t>FEMA의 기획 지침은 회의·목표·상황·문서·평가·물류 준비를 함께 다룬다. 과천시 2024년 훈련 보도에는 컨설팅 2회·기획회의 6회가 등장한다. 그러나 철도 작성자의 평균 업무시간은 이번 자료에서 확인되지 않았다. [S05][S06]</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tcMar>
              <w:top w:w="80" w:type="dxa"/>
              <w:left w:w="95" w:type="dxa"/>
              <w:bottom w:w="80" w:type="dxa"/>
              <w:right w:w="95" w:type="dxa"/>
            </w:tcMar>
            <w:shd w:fill="172B4D"/>
          </w:tcPr>
          <w:p>
            <w:pPr>
              <w:spacing w:after="40" w:line="269" w:lineRule="auto"/>
            </w:pPr>
            <w:r>
              <w:rPr>
                <w:b/>
                <w:color w:val="FFFFFF"/>
                <w:sz w:val="18"/>
              </w:rPr>
              <w:t>시계</w:t>
            </w:r>
          </w:p>
        </w:tc>
        <w:tc>
          <w:tcPr>
            <w:tcW w:type="dxa" w:w="7597"/>
            <w:vAlign w:val="center"/>
            <w:tcMar>
              <w:top w:w="80" w:type="dxa"/>
              <w:left w:w="95" w:type="dxa"/>
              <w:bottom w:w="80" w:type="dxa"/>
              <w:right w:w="95" w:type="dxa"/>
            </w:tcMar>
            <w:shd w:fill="172B4D"/>
          </w:tcPr>
          <w:p>
            <w:pPr>
              <w:spacing w:after="40" w:line="269" w:lineRule="auto"/>
            </w:pPr>
            <w:r>
              <w:rPr>
                <w:b/>
                <w:color w:val="FFFFFF"/>
                <w:sz w:val="18"/>
              </w:rPr>
              <w:t>측정과 구분</w:t>
            </w:r>
          </w:p>
        </w:tc>
      </w:tr>
      <w:tr>
        <w:trPr>
          <w:cantSplit/>
        </w:trPr>
        <w:tc>
          <w:tcPr>
            <w:tcW w:type="dxa" w:w="2268"/>
            <w:vAlign w:val="center"/>
            <w:tcMar>
              <w:top w:w="80" w:type="dxa"/>
              <w:left w:w="95" w:type="dxa"/>
              <w:bottom w:w="80" w:type="dxa"/>
              <w:right w:w="95" w:type="dxa"/>
            </w:tcMar>
          </w:tcPr>
          <w:p>
            <w:pPr>
              <w:spacing w:after="40" w:line="269" w:lineRule="auto"/>
            </w:pPr>
            <w:r>
              <w:rPr>
                <w:b w:val="0"/>
                <w:color w:val="172B4D"/>
                <w:sz w:val="18"/>
              </w:rPr>
              <w:t>달력상 리드타임</w:t>
            </w:r>
          </w:p>
        </w:tc>
        <w:tc>
          <w:tcPr>
            <w:tcW w:type="dxa" w:w="7597"/>
            <w:vAlign w:val="center"/>
            <w:tcMar>
              <w:top w:w="80" w:type="dxa"/>
              <w:left w:w="95" w:type="dxa"/>
              <w:bottom w:w="80" w:type="dxa"/>
              <w:right w:w="95" w:type="dxa"/>
            </w:tcMar>
          </w:tcPr>
          <w:p>
            <w:pPr>
              <w:spacing w:after="40" w:line="269" w:lineRule="auto"/>
            </w:pPr>
            <w:r>
              <w:rPr>
                <w:b w:val="0"/>
                <w:color w:val="172B4D"/>
                <w:sz w:val="18"/>
              </w:rPr>
              <w:t>자료 요청부터 검토 가능한 대본까지. 기관 회신 대기 포함.</w:t>
            </w:r>
          </w:p>
        </w:tc>
      </w:tr>
      <w:tr>
        <w:trPr>
          <w:cantSplit/>
        </w:trPr>
        <w:tc>
          <w:tcPr>
            <w:tcW w:type="dxa" w:w="2268"/>
            <w:vAlign w:val="center"/>
            <w:tcMar>
              <w:top w:w="80" w:type="dxa"/>
              <w:left w:w="95" w:type="dxa"/>
              <w:bottom w:w="80" w:type="dxa"/>
              <w:right w:w="95" w:type="dxa"/>
            </w:tcMar>
            <w:shd w:fill="F1F5F7"/>
          </w:tcPr>
          <w:p>
            <w:pPr>
              <w:spacing w:after="40" w:line="269" w:lineRule="auto"/>
            </w:pPr>
            <w:r>
              <w:rPr>
                <w:b w:val="0"/>
                <w:color w:val="172B4D"/>
                <w:sz w:val="18"/>
              </w:rPr>
              <w:t>사람 작업량</w:t>
            </w:r>
          </w:p>
        </w:tc>
        <w:tc>
          <w:tcPr>
            <w:tcW w:type="dxa" w:w="7597"/>
            <w:vAlign w:val="center"/>
            <w:tcMar>
              <w:top w:w="80" w:type="dxa"/>
              <w:left w:w="95" w:type="dxa"/>
              <w:bottom w:w="80" w:type="dxa"/>
              <w:right w:w="95" w:type="dxa"/>
            </w:tcMar>
            <w:shd w:fill="F1F5F7"/>
          </w:tcPr>
          <w:p>
            <w:pPr>
              <w:spacing w:after="40" w:line="269" w:lineRule="auto"/>
            </w:pPr>
            <w:r>
              <w:rPr>
                <w:b w:val="0"/>
                <w:color w:val="172B4D"/>
                <w:sz w:val="18"/>
              </w:rPr>
              <w:t>참가자별 실제 인시. 회의·재작업·개발자 대리 입력 포함.</w:t>
            </w:r>
          </w:p>
        </w:tc>
      </w:tr>
      <w:tr>
        <w:trPr>
          <w:cantSplit/>
        </w:trPr>
        <w:tc>
          <w:tcPr>
            <w:tcW w:type="dxa" w:w="2268"/>
            <w:vAlign w:val="center"/>
            <w:tcMar>
              <w:top w:w="80" w:type="dxa"/>
              <w:left w:w="95" w:type="dxa"/>
              <w:bottom w:w="80" w:type="dxa"/>
              <w:right w:w="95" w:type="dxa"/>
            </w:tcMar>
          </w:tcPr>
          <w:p>
            <w:pPr>
              <w:spacing w:after="40" w:line="269" w:lineRule="auto"/>
            </w:pPr>
            <w:r>
              <w:rPr>
                <w:b w:val="0"/>
                <w:color w:val="172B4D"/>
                <w:sz w:val="18"/>
              </w:rPr>
              <w:t>도구·계산 지연</w:t>
            </w:r>
          </w:p>
        </w:tc>
        <w:tc>
          <w:tcPr>
            <w:tcW w:type="dxa" w:w="7597"/>
            <w:vAlign w:val="center"/>
            <w:tcMar>
              <w:top w:w="80" w:type="dxa"/>
              <w:left w:w="95" w:type="dxa"/>
              <w:bottom w:w="80" w:type="dxa"/>
              <w:right w:w="95" w:type="dxa"/>
            </w:tcMar>
          </w:tcPr>
          <w:p>
            <w:pPr>
              <w:spacing w:after="40" w:line="269" w:lineRule="auto"/>
            </w:pPr>
            <w:r>
              <w:rPr>
                <w:b w:val="0"/>
                <w:color w:val="172B4D"/>
                <w:sz w:val="18"/>
              </w:rPr>
              <w:t>교육·입력·실행·출력 비용. 무인 계산은 인시와 분리.</w:t>
            </w:r>
          </w:p>
        </w:tc>
      </w:tr>
      <w:tr>
        <w:trPr>
          <w:cantSplit/>
        </w:trPr>
        <w:tc>
          <w:tcPr>
            <w:tcW w:type="dxa" w:w="2268"/>
            <w:vAlign w:val="center"/>
            <w:tcMar>
              <w:top w:w="80" w:type="dxa"/>
              <w:left w:w="95" w:type="dxa"/>
              <w:bottom w:w="80" w:type="dxa"/>
              <w:right w:w="95" w:type="dxa"/>
            </w:tcMar>
            <w:shd w:fill="F1F5F7"/>
          </w:tcPr>
          <w:p>
            <w:pPr>
              <w:spacing w:after="40" w:line="269" w:lineRule="auto"/>
            </w:pPr>
            <w:r>
              <w:rPr>
                <w:b w:val="0"/>
                <w:color w:val="172B4D"/>
                <w:sz w:val="18"/>
              </w:rPr>
              <w:t>시뮬레이션 시간</w:t>
            </w:r>
          </w:p>
        </w:tc>
        <w:tc>
          <w:tcPr>
            <w:tcW w:type="dxa" w:w="7597"/>
            <w:vAlign w:val="center"/>
            <w:tcMar>
              <w:top w:w="80" w:type="dxa"/>
              <w:left w:w="95" w:type="dxa"/>
              <w:bottom w:w="80" w:type="dxa"/>
              <w:right w:w="95" w:type="dxa"/>
            </w:tcMar>
            <w:shd w:fill="F1F5F7"/>
          </w:tcPr>
          <w:p>
            <w:pPr>
              <w:spacing w:after="40" w:line="269" w:lineRule="auto"/>
            </w:pPr>
            <w:r>
              <w:rPr>
                <w:b w:val="0"/>
                <w:color w:val="172B4D"/>
                <w:sz w:val="18"/>
              </w:rPr>
              <w:t>모델 내부의 사건·업무 시간. 작성시간 절감과 다른 지표.</w:t>
            </w:r>
          </w:p>
        </w:tc>
      </w:tr>
    </w:tbl>
    <w:p/>
    <w:p>
      <w:pPr>
        <w:pStyle w:val="Heading2"/>
      </w:pPr>
      <w:r>
        <w:t>비교식</w:t>
      </w:r>
    </w:p>
    <w:p>
      <w:r>
        <w:t>새 방식 총인시 = 초기 구축·교육 + 반복 입력·운영·사람이 지켜본 계산·검수·출력 수정 + 유지보수</w:t>
      </w:r>
    </w:p>
    <w:p>
      <w:r>
        <w:t>정상 상태의 건당 순절감 Δ가 양수일 때, 초기비용 회수에 필요한 재사용 횟수 = ceil(초기 인시 ÷ Δ). 반복 유지보수까지 Δ에 포함한다. Δ가 0 이하라면 시간 절감을 주장하지 않는다.</w:t>
      </w:r>
    </w:p>
    <w:p>
      <w:pPr>
        <w:pStyle w:val="Heading2"/>
      </w:pPr>
      <w:r>
        <w:t>제품에 반영할 것</w:t>
      </w:r>
    </w:p>
    <w:p>
      <w:r>
        <w:t>검수된 현장·규칙 묶음을 재사용하고, 변경된 부분부터 재검토한다. 전체 장면을 끝까지 플레이해야 수정이 가능한 UX는 피한다. 저장·분기·다음 판단 지점 이동은 계산 상태와 로그를 유지해야 한다.</w:t>
      </w:r>
    </w:p>
    <w:p>
      <w:pPr>
        <w:pStyle w:val="Heading2"/>
      </w:pPr>
      <w:r>
        <w:t>사전 목표와 결과를 혼동하지 않는다</w:t>
      </w:r>
    </w:p>
    <w:p>
      <w:r>
        <w:t>온보딩 30분, 첫 유용한 비교 15분, 완성까지 총인시 20% 감소는 고객과 합의할 제안 목표다. 측정값·산업 기준이 아니다. 최초 사용과 반복 사용을 별도로 보고하고, 미완성 작업을 빠른 작업으로 계산하지 않는다.</w:t>
      </w:r>
    </w:p>
    <w:p>
      <w:r>
        <w:br w:type="page"/>
      </w:r>
    </w:p>
    <w:p>
      <w:pPr>
        <w:pStyle w:val="Subtitle"/>
      </w:pPr>
      <w:r>
        <w:t>03  /  MARKET &amp; USER EVIDENCE</w:t>
      </w:r>
    </w:p>
    <w:p>
      <w:pPr>
        <w:pStyle w:val="Heading1"/>
      </w:pPr>
      <w:r>
        <w:t>경쟁이 없는 아이디어는 아니다</w:t>
      </w:r>
    </w:p>
    <w:tbl>
      <w:tblPr>
        <w:tblW w:type="auto" w:w="0"/>
        <w:jc w:val="center"/>
        <w:tblLayout w:type="fixed"/>
        <w:tblLook w:firstColumn="1" w:firstRow="1" w:lastColumn="0" w:lastRow="0" w:noHBand="0" w:noVBand="1" w:val="04A0"/>
      </w:tblPr>
      <w:tblGrid>
        <w:gridCol w:w="2268"/>
        <w:gridCol w:w="3402"/>
        <w:gridCol w:w="4195"/>
      </w:tblGrid>
      <w:tr>
        <w:trPr>
          <w:tblHeader/>
          <w:cantSplit/>
        </w:trPr>
        <w:tc>
          <w:tcPr>
            <w:tcW w:type="dxa" w:w="2268"/>
            <w:vAlign w:val="center"/>
            <w:tcMar>
              <w:top w:w="80" w:type="dxa"/>
              <w:left w:w="95" w:type="dxa"/>
              <w:bottom w:w="80" w:type="dxa"/>
              <w:right w:w="95" w:type="dxa"/>
            </w:tcMar>
            <w:shd w:fill="172B4D"/>
          </w:tcPr>
          <w:p>
            <w:pPr>
              <w:spacing w:after="40" w:line="269" w:lineRule="auto"/>
            </w:pPr>
            <w:r>
              <w:rPr>
                <w:b/>
                <w:color w:val="FFFFFF"/>
                <w:sz w:val="18"/>
              </w:rPr>
              <w:t>비교 대상</w:t>
            </w:r>
          </w:p>
        </w:tc>
        <w:tc>
          <w:tcPr>
            <w:tcW w:type="dxa" w:w="3402"/>
            <w:vAlign w:val="center"/>
            <w:tcMar>
              <w:top w:w="80" w:type="dxa"/>
              <w:left w:w="95" w:type="dxa"/>
              <w:bottom w:w="80" w:type="dxa"/>
              <w:right w:w="95" w:type="dxa"/>
            </w:tcMar>
            <w:shd w:fill="172B4D"/>
          </w:tcPr>
          <w:p>
            <w:pPr>
              <w:spacing w:after="40" w:line="269" w:lineRule="auto"/>
            </w:pPr>
            <w:r>
              <w:rPr>
                <w:b/>
                <w:color w:val="FFFFFF"/>
                <w:sz w:val="18"/>
              </w:rPr>
              <w:t>확인된 것</w:t>
            </w:r>
          </w:p>
        </w:tc>
        <w:tc>
          <w:tcPr>
            <w:tcW w:type="dxa" w:w="4195"/>
            <w:vAlign w:val="center"/>
            <w:tcMar>
              <w:top w:w="80" w:type="dxa"/>
              <w:left w:w="95" w:type="dxa"/>
              <w:bottom w:w="80" w:type="dxa"/>
              <w:right w:w="95" w:type="dxa"/>
            </w:tcMar>
            <w:shd w:fill="172B4D"/>
          </w:tcPr>
          <w:p>
            <w:pPr>
              <w:spacing w:after="40" w:line="269" w:lineRule="auto"/>
            </w:pPr>
            <w:r>
              <w:rPr>
                <w:b/>
                <w:color w:val="FFFFFF"/>
                <w:sz w:val="18"/>
              </w:rPr>
              <w:t>비평의 의미</w:t>
            </w:r>
          </w:p>
        </w:tc>
      </w:tr>
      <w:tr>
        <w:trPr>
          <w:cantSplit/>
        </w:trPr>
        <w:tc>
          <w:tcPr>
            <w:tcW w:type="dxa" w:w="2268"/>
            <w:vAlign w:val="center"/>
            <w:tcMar>
              <w:top w:w="80" w:type="dxa"/>
              <w:left w:w="95" w:type="dxa"/>
              <w:bottom w:w="80" w:type="dxa"/>
              <w:right w:w="95" w:type="dxa"/>
            </w:tcMar>
          </w:tcPr>
          <w:p>
            <w:pPr>
              <w:spacing w:after="40" w:line="269" w:lineRule="auto"/>
            </w:pPr>
            <w:r>
              <w:rPr>
                <w:b w:val="0"/>
                <w:color w:val="172B4D"/>
                <w:sz w:val="18"/>
              </w:rPr>
              <w:t>FEMA Exercise Builder</w:t>
            </w:r>
          </w:p>
        </w:tc>
        <w:tc>
          <w:tcPr>
            <w:tcW w:type="dxa" w:w="3402"/>
            <w:vAlign w:val="center"/>
            <w:tcMar>
              <w:top w:w="80" w:type="dxa"/>
              <w:left w:w="95" w:type="dxa"/>
              <w:bottom w:w="80" w:type="dxa"/>
              <w:right w:w="95" w:type="dxa"/>
            </w:tcMar>
          </w:tcPr>
          <w:p>
            <w:pPr>
              <w:spacing w:after="40" w:line="269" w:lineRule="auto"/>
            </w:pPr>
            <w:r>
              <w:rPr>
                <w:b w:val="0"/>
                <w:color w:val="172B4D"/>
                <w:sz w:val="18"/>
              </w:rPr>
              <w:t>기획·실행·평가·사건목록·협업 [S07]</w:t>
            </w:r>
          </w:p>
        </w:tc>
        <w:tc>
          <w:tcPr>
            <w:tcW w:type="dxa" w:w="4195"/>
            <w:vAlign w:val="center"/>
            <w:tcMar>
              <w:top w:w="80" w:type="dxa"/>
              <w:left w:w="95" w:type="dxa"/>
              <w:bottom w:w="80" w:type="dxa"/>
              <w:right w:w="95" w:type="dxa"/>
            </w:tcMar>
          </w:tcPr>
          <w:p>
            <w:pPr>
              <w:spacing w:after="40" w:line="269" w:lineRule="auto"/>
            </w:pPr>
            <w:r>
              <w:rPr>
                <w:b w:val="0"/>
                <w:color w:val="172B4D"/>
                <w:sz w:val="18"/>
              </w:rPr>
              <w:t>문서 자동화와 훈련 관리만으로 차별화하기 어렵다.</w:t>
            </w:r>
          </w:p>
        </w:tc>
      </w:tr>
      <w:tr>
        <w:trPr>
          <w:cantSplit/>
        </w:trPr>
        <w:tc>
          <w:tcPr>
            <w:tcW w:type="dxa" w:w="2268"/>
            <w:vAlign w:val="center"/>
            <w:tcMar>
              <w:top w:w="80" w:type="dxa"/>
              <w:left w:w="95" w:type="dxa"/>
              <w:bottom w:w="80" w:type="dxa"/>
              <w:right w:w="95" w:type="dxa"/>
            </w:tcMar>
            <w:shd w:fill="F1F5F7"/>
          </w:tcPr>
          <w:p>
            <w:pPr>
              <w:spacing w:after="40" w:line="269" w:lineRule="auto"/>
            </w:pPr>
            <w:r>
              <w:rPr>
                <w:b w:val="0"/>
                <w:color w:val="172B4D"/>
                <w:sz w:val="18"/>
              </w:rPr>
              <w:t>Conducttr</w:t>
            </w:r>
          </w:p>
        </w:tc>
        <w:tc>
          <w:tcPr>
            <w:tcW w:type="dxa" w:w="3402"/>
            <w:vAlign w:val="center"/>
            <w:tcMar>
              <w:top w:w="80" w:type="dxa"/>
              <w:left w:w="95" w:type="dxa"/>
              <w:bottom w:w="80" w:type="dxa"/>
              <w:right w:w="95" w:type="dxa"/>
            </w:tcMar>
            <w:shd w:fill="F1F5F7"/>
          </w:tcPr>
          <w:p>
            <w:pPr>
              <w:spacing w:after="40" w:line="269" w:lineRule="auto"/>
            </w:pPr>
            <w:r>
              <w:rPr>
                <w:b w:val="0"/>
                <w:color w:val="172B4D"/>
                <w:sz w:val="18"/>
              </w:rPr>
              <w:t>AI 기반 시나리오·MEL 내용 생성 [S08]</w:t>
            </w:r>
          </w:p>
        </w:tc>
        <w:tc>
          <w:tcPr>
            <w:tcW w:type="dxa" w:w="4195"/>
            <w:vAlign w:val="center"/>
            <w:tcMar>
              <w:top w:w="80" w:type="dxa"/>
              <w:left w:w="95" w:type="dxa"/>
              <w:bottom w:w="80" w:type="dxa"/>
              <w:right w:w="95" w:type="dxa"/>
            </w:tcMar>
            <w:shd w:fill="F1F5F7"/>
          </w:tcPr>
          <w:p>
            <w:pPr>
              <w:spacing w:after="40" w:line="269" w:lineRule="auto"/>
            </w:pPr>
            <w:r>
              <w:rPr>
                <w:b w:val="0"/>
                <w:color w:val="172B4D"/>
                <w:sz w:val="18"/>
              </w:rPr>
              <w:t>AI 생성도 기존 기능이다. 속도 광고는 독립 측정이 아니다.</w:t>
            </w:r>
          </w:p>
        </w:tc>
      </w:tr>
      <w:tr>
        <w:trPr>
          <w:cantSplit/>
        </w:trPr>
        <w:tc>
          <w:tcPr>
            <w:tcW w:type="dxa" w:w="2268"/>
            <w:vAlign w:val="center"/>
            <w:tcMar>
              <w:top w:w="80" w:type="dxa"/>
              <w:left w:w="95" w:type="dxa"/>
              <w:bottom w:w="80" w:type="dxa"/>
              <w:right w:w="95" w:type="dxa"/>
            </w:tcMar>
          </w:tcPr>
          <w:p>
            <w:pPr>
              <w:spacing w:after="40" w:line="269" w:lineRule="auto"/>
            </w:pPr>
            <w:r>
              <w:rPr>
                <w:b w:val="0"/>
                <w:color w:val="172B4D"/>
                <w:sz w:val="18"/>
              </w:rPr>
              <w:t>XVR + 도입기관</w:t>
            </w:r>
          </w:p>
        </w:tc>
        <w:tc>
          <w:tcPr>
            <w:tcW w:type="dxa" w:w="3402"/>
            <w:vAlign w:val="center"/>
            <w:tcMar>
              <w:top w:w="80" w:type="dxa"/>
              <w:left w:w="95" w:type="dxa"/>
              <w:bottom w:w="80" w:type="dxa"/>
              <w:right w:w="95" w:type="dxa"/>
            </w:tcMar>
          </w:tcPr>
          <w:p>
            <w:pPr>
              <w:spacing w:after="40" w:line="269" w:lineRule="auto"/>
            </w:pPr>
            <w:r>
              <w:rPr>
                <w:b w:val="0"/>
                <w:color w:val="172B4D"/>
                <w:sz w:val="18"/>
              </w:rPr>
              <w:t>3D 사건·팀 훈련, 자원·역할별 정보 [S09][S10]</w:t>
            </w:r>
          </w:p>
        </w:tc>
        <w:tc>
          <w:tcPr>
            <w:tcW w:type="dxa" w:w="4195"/>
            <w:vAlign w:val="center"/>
            <w:tcMar>
              <w:top w:w="80" w:type="dxa"/>
              <w:left w:w="95" w:type="dxa"/>
              <w:bottom w:w="80" w:type="dxa"/>
              <w:right w:w="95" w:type="dxa"/>
            </w:tcMar>
          </w:tcPr>
          <w:p>
            <w:pPr>
              <w:spacing w:after="40" w:line="269" w:lineRule="auto"/>
            </w:pPr>
            <w:r>
              <w:rPr>
                <w:b w:val="0"/>
                <w:color w:val="172B4D"/>
                <w:sz w:val="18"/>
              </w:rPr>
              <w:t>RTS·3D·자원 운영이라는 이름만으로 새롭지 않다.</w:t>
            </w:r>
          </w:p>
        </w:tc>
      </w:tr>
      <w:tr>
        <w:trPr>
          <w:cantSplit/>
        </w:trPr>
        <w:tc>
          <w:tcPr>
            <w:tcW w:type="dxa" w:w="2268"/>
            <w:vAlign w:val="center"/>
            <w:tcMar>
              <w:top w:w="80" w:type="dxa"/>
              <w:left w:w="95" w:type="dxa"/>
              <w:bottom w:w="80" w:type="dxa"/>
              <w:right w:w="95" w:type="dxa"/>
            </w:tcMar>
            <w:shd w:fill="F1F5F7"/>
          </w:tcPr>
          <w:p>
            <w:pPr>
              <w:spacing w:after="40" w:line="269" w:lineRule="auto"/>
            </w:pPr>
            <w:r>
              <w:rPr>
                <w:b w:val="0"/>
                <w:color w:val="172B4D"/>
                <w:sz w:val="18"/>
              </w:rPr>
              <w:t>SR 가상 철도훈련</w:t>
            </w:r>
          </w:p>
        </w:tc>
        <w:tc>
          <w:tcPr>
            <w:tcW w:type="dxa" w:w="3402"/>
            <w:vAlign w:val="center"/>
            <w:tcMar>
              <w:top w:w="80" w:type="dxa"/>
              <w:left w:w="95" w:type="dxa"/>
              <w:bottom w:w="80" w:type="dxa"/>
              <w:right w:w="95" w:type="dxa"/>
            </w:tcMar>
            <w:shd w:fill="F1F5F7"/>
          </w:tcPr>
          <w:p>
            <w:pPr>
              <w:spacing w:after="40" w:line="269" w:lineRule="auto"/>
            </w:pPr>
            <w:r>
              <w:rPr>
                <w:b w:val="0"/>
                <w:color w:val="172B4D"/>
                <w:sz w:val="18"/>
              </w:rPr>
              <w:t>2023년 구축, 역할 수행과 상황 추가 [S04][S19]</w:t>
            </w:r>
          </w:p>
        </w:tc>
        <w:tc>
          <w:tcPr>
            <w:tcW w:type="dxa" w:w="4195"/>
            <w:vAlign w:val="center"/>
            <w:tcMar>
              <w:top w:w="80" w:type="dxa"/>
              <w:left w:w="95" w:type="dxa"/>
              <w:bottom w:w="80" w:type="dxa"/>
              <w:right w:w="95" w:type="dxa"/>
            </w:tcMar>
            <w:shd w:fill="F1F5F7"/>
          </w:tcPr>
          <w:p>
            <w:pPr>
              <w:spacing w:after="40" w:line="269" w:lineRule="auto"/>
            </w:pPr>
            <w:r>
              <w:rPr>
                <w:b w:val="0"/>
                <w:color w:val="172B4D"/>
                <w:sz w:val="18"/>
              </w:rPr>
              <w:t>국내 철도 가상훈련도 선례가 있다.</w:t>
            </w:r>
          </w:p>
        </w:tc>
      </w:tr>
    </w:tbl>
    <w:p/>
    <w:p>
      <w:pPr>
        <w:pStyle w:val="Heading2"/>
      </w:pPr>
      <w:r>
        <w:t>연구가 지지하는 것과 지지하지 않는 것</w:t>
      </w:r>
    </w:p>
    <w:p>
      <w:r>
        <w:t>2024년 대피모델·도상훈련 연구는 의사결정과 상황 변화의 결과를 시뮬레이션으로 피드백하는 접근을 실제 훈련에서 다뤘다. 동시에 입력·행동 가정의 한계가 있다. 이는 방향의 근거이지 한국 철도 작성 효율의 증거가 아니다. [S21]</w:t>
      </w:r>
    </w:p>
    <w:p>
      <w:r>
        <w:t>협업 시나리오 저작과 훈련 평가도구를 실제 기획자에게 시험한 연구들도 있다. 그러나 현재 CHOOGuard 사용자 인터뷰·선호·성과를 대신하지 않는다. [S22][S23]</w:t>
      </w:r>
    </w:p>
    <w:p>
      <w:pPr>
        <w:pStyle w:val="Heading2"/>
      </w:pPr>
      <w:r>
        <w:t>시장과 차별화의 가설</w:t>
      </w:r>
    </w:p>
    <w:p>
      <w:r>
        <w:t>첫 시장은 반복 작성팀을 중심으로 한 B2B/B2G 실증이다. 2025년 상반기 안전한국훈련의 103개 주관기관을 구매기관 수로 환산하지 않는다. 가격·예산·구매자·보안 배포 조건은 미확인이다. [S02]</w:t>
      </w:r>
    </w:p>
    <w:p>
      <w:r>
        <w:t>차별화는 국내 철도 규칙·공간·공조의 버전 추적, 운영 중 모순의 설명, 수정안과 대본의 일치, 작성 효율에서 증명한다. 초기 모델 구축을 매번 다시 해야 한다면 소프트웨어 제품보다 맞춤 용역에 가까워질 수 있다.</w:t>
      </w:r>
    </w:p>
    <w:p>
      <w:r>
        <w:br w:type="page"/>
      </w:r>
    </w:p>
    <w:p>
      <w:pPr>
        <w:pStyle w:val="Subtitle"/>
      </w:pPr>
      <w:r>
        <w:t>04  /  TECHNOLOGY</w:t>
      </w:r>
    </w:p>
    <w:p>
      <w:pPr>
        <w:pStyle w:val="Heading1"/>
      </w:pPr>
      <w:r>
        <w:t>기술을 연결하는 것과 정확한 것은 다르다</w:t>
      </w:r>
    </w:p>
    <w:tbl>
      <w:tblPr>
        <w:tblW w:type="auto" w:w="0"/>
        <w:jc w:val="center"/>
        <w:tblLayout w:type="fixed"/>
        <w:tblLook w:firstColumn="1" w:firstRow="1" w:lastColumn="0" w:lastRow="0" w:noHBand="0" w:noVBand="1" w:val="04A0"/>
      </w:tblPr>
      <w:tblGrid>
        <w:gridCol w:w="1701"/>
        <w:gridCol w:w="3685"/>
        <w:gridCol w:w="4479"/>
      </w:tblGrid>
      <w:tr>
        <w:trPr>
          <w:tblHeader/>
          <w:cantSplit/>
        </w:trPr>
        <w:tc>
          <w:tcPr>
            <w:tcW w:type="dxa" w:w="1701"/>
            <w:vAlign w:val="center"/>
            <w:tcMar>
              <w:top w:w="80" w:type="dxa"/>
              <w:left w:w="95" w:type="dxa"/>
              <w:bottom w:w="80" w:type="dxa"/>
              <w:right w:w="95" w:type="dxa"/>
            </w:tcMar>
            <w:shd w:fill="172B4D"/>
          </w:tcPr>
          <w:p>
            <w:pPr>
              <w:spacing w:after="40" w:line="269" w:lineRule="auto"/>
            </w:pPr>
            <w:r>
              <w:rPr>
                <w:b/>
                <w:color w:val="FFFFFF"/>
                <w:sz w:val="18"/>
              </w:rPr>
              <w:t>계층</w:t>
            </w:r>
          </w:p>
        </w:tc>
        <w:tc>
          <w:tcPr>
            <w:tcW w:type="dxa" w:w="3685"/>
            <w:vAlign w:val="center"/>
            <w:tcMar>
              <w:top w:w="80" w:type="dxa"/>
              <w:left w:w="95" w:type="dxa"/>
              <w:bottom w:w="80" w:type="dxa"/>
              <w:right w:w="95" w:type="dxa"/>
            </w:tcMar>
            <w:shd w:fill="172B4D"/>
          </w:tcPr>
          <w:p>
            <w:pPr>
              <w:spacing w:after="40" w:line="269" w:lineRule="auto"/>
            </w:pPr>
            <w:r>
              <w:rPr>
                <w:b/>
                <w:color w:val="FFFFFF"/>
                <w:sz w:val="18"/>
              </w:rPr>
              <w:t>후보·역할</w:t>
            </w:r>
          </w:p>
        </w:tc>
        <w:tc>
          <w:tcPr>
            <w:tcW w:type="dxa" w:w="4479"/>
            <w:vAlign w:val="center"/>
            <w:tcMar>
              <w:top w:w="80" w:type="dxa"/>
              <w:left w:w="95" w:type="dxa"/>
              <w:bottom w:w="80" w:type="dxa"/>
              <w:right w:w="95" w:type="dxa"/>
            </w:tcMar>
            <w:shd w:fill="172B4D"/>
          </w:tcPr>
          <w:p>
            <w:pPr>
              <w:spacing w:after="40" w:line="269" w:lineRule="auto"/>
            </w:pPr>
            <w:r>
              <w:rPr>
                <w:b/>
                <w:color w:val="FFFFFF"/>
                <w:sz w:val="18"/>
              </w:rPr>
              <w:t>먼저 증명할 것</w:t>
            </w:r>
          </w:p>
        </w:tc>
      </w:tr>
      <w:tr>
        <w:trPr>
          <w:cantSplit/>
        </w:trPr>
        <w:tc>
          <w:tcPr>
            <w:tcW w:type="dxa" w:w="1701"/>
            <w:vAlign w:val="center"/>
            <w:tcMar>
              <w:top w:w="80" w:type="dxa"/>
              <w:left w:w="95" w:type="dxa"/>
              <w:bottom w:w="80" w:type="dxa"/>
              <w:right w:w="95" w:type="dxa"/>
            </w:tcMar>
          </w:tcPr>
          <w:p>
            <w:pPr>
              <w:spacing w:after="40" w:line="269" w:lineRule="auto"/>
            </w:pPr>
            <w:r>
              <w:rPr>
                <w:b w:val="0"/>
                <w:color w:val="172B4D"/>
                <w:sz w:val="18"/>
              </w:rPr>
              <w:t>기관·업무</w:t>
            </w:r>
          </w:p>
        </w:tc>
        <w:tc>
          <w:tcPr>
            <w:tcW w:type="dxa" w:w="3685"/>
            <w:vAlign w:val="center"/>
            <w:tcMar>
              <w:top w:w="80" w:type="dxa"/>
              <w:left w:w="95" w:type="dxa"/>
              <w:bottom w:w="80" w:type="dxa"/>
              <w:right w:w="95" w:type="dxa"/>
            </w:tcMar>
          </w:tcPr>
          <w:p>
            <w:pPr>
              <w:spacing w:after="40" w:line="269" w:lineRule="auto"/>
            </w:pPr>
            <w:r>
              <w:rPr>
                <w:b w:val="0"/>
                <w:color w:val="172B4D"/>
                <w:sz w:val="18"/>
              </w:rPr>
              <w:t>이산사건 코어 / TAPAAL [S14]</w:t>
            </w:r>
          </w:p>
        </w:tc>
        <w:tc>
          <w:tcPr>
            <w:tcW w:type="dxa" w:w="4479"/>
            <w:vAlign w:val="center"/>
            <w:tcMar>
              <w:top w:w="80" w:type="dxa"/>
              <w:left w:w="95" w:type="dxa"/>
              <w:bottom w:w="80" w:type="dxa"/>
              <w:right w:w="95" w:type="dxa"/>
            </w:tcMar>
          </w:tcPr>
          <w:p>
            <w:pPr>
              <w:spacing w:after="40" w:line="269" w:lineRule="auto"/>
            </w:pPr>
            <w:r>
              <w:rPr>
                <w:b w:val="0"/>
                <w:color w:val="172B4D"/>
                <w:sz w:val="18"/>
              </w:rPr>
              <w:t>권한·선행·예약·인계·교착과 예외</w:t>
            </w:r>
          </w:p>
        </w:tc>
      </w:tr>
      <w:tr>
        <w:trPr>
          <w:cantSplit/>
        </w:trPr>
        <w:tc>
          <w:tcPr>
            <w:tcW w:type="dxa" w:w="1701"/>
            <w:vAlign w:val="center"/>
            <w:tcMar>
              <w:top w:w="80" w:type="dxa"/>
              <w:left w:w="95" w:type="dxa"/>
              <w:bottom w:w="80" w:type="dxa"/>
              <w:right w:w="95" w:type="dxa"/>
            </w:tcMar>
            <w:shd w:fill="F1F5F7"/>
          </w:tcPr>
          <w:p>
            <w:pPr>
              <w:spacing w:after="40" w:line="269" w:lineRule="auto"/>
            </w:pPr>
            <w:r>
              <w:rPr>
                <w:b w:val="0"/>
                <w:color w:val="172B4D"/>
                <w:sz w:val="18"/>
              </w:rPr>
              <w:t>공간</w:t>
            </w:r>
          </w:p>
        </w:tc>
        <w:tc>
          <w:tcPr>
            <w:tcW w:type="dxa" w:w="3685"/>
            <w:vAlign w:val="center"/>
            <w:tcMar>
              <w:top w:w="80" w:type="dxa"/>
              <w:left w:w="95" w:type="dxa"/>
              <w:bottom w:w="80" w:type="dxa"/>
              <w:right w:w="95" w:type="dxa"/>
            </w:tcMar>
            <w:shd w:fill="F1F5F7"/>
          </w:tcPr>
          <w:p>
            <w:pPr>
              <w:spacing w:after="40" w:line="269" w:lineRule="auto"/>
            </w:pPr>
            <w:r>
              <w:rPr>
                <w:b w:val="0"/>
                <w:color w:val="172B4D"/>
                <w:sz w:val="18"/>
              </w:rPr>
              <w:t>실제 기하 / 복원 보조 [S17]</w:t>
            </w:r>
          </w:p>
        </w:tc>
        <w:tc>
          <w:tcPr>
            <w:tcW w:type="dxa" w:w="4479"/>
            <w:vAlign w:val="center"/>
            <w:tcMar>
              <w:top w:w="80" w:type="dxa"/>
              <w:left w:w="95" w:type="dxa"/>
              <w:bottom w:w="80" w:type="dxa"/>
              <w:right w:w="95" w:type="dxa"/>
            </w:tcMar>
            <w:shd w:fill="F1F5F7"/>
          </w:tcPr>
          <w:p>
            <w:pPr>
              <w:spacing w:after="40" w:line="269" w:lineRule="auto"/>
            </w:pPr>
            <w:r>
              <w:rPr>
                <w:b w:val="0"/>
                <w:color w:val="172B4D"/>
                <w:sz w:val="18"/>
              </w:rPr>
              <w:t>같은 대상·시점·독립 치수·핵심 연결</w:t>
            </w:r>
          </w:p>
        </w:tc>
      </w:tr>
      <w:tr>
        <w:trPr>
          <w:cantSplit/>
        </w:trPr>
        <w:tc>
          <w:tcPr>
            <w:tcW w:type="dxa" w:w="1701"/>
            <w:vAlign w:val="center"/>
            <w:tcMar>
              <w:top w:w="80" w:type="dxa"/>
              <w:left w:w="95" w:type="dxa"/>
              <w:bottom w:w="80" w:type="dxa"/>
              <w:right w:w="95" w:type="dxa"/>
            </w:tcMar>
          </w:tcPr>
          <w:p>
            <w:pPr>
              <w:spacing w:after="40" w:line="269" w:lineRule="auto"/>
            </w:pPr>
            <w:r>
              <w:rPr>
                <w:b w:val="0"/>
                <w:color w:val="172B4D"/>
                <w:sz w:val="18"/>
              </w:rPr>
              <w:t>사람 이동</w:t>
            </w:r>
          </w:p>
        </w:tc>
        <w:tc>
          <w:tcPr>
            <w:tcW w:type="dxa" w:w="3685"/>
            <w:vAlign w:val="center"/>
            <w:tcMar>
              <w:top w:w="80" w:type="dxa"/>
              <w:left w:w="95" w:type="dxa"/>
              <w:bottom w:w="80" w:type="dxa"/>
              <w:right w:w="95" w:type="dxa"/>
            </w:tcMar>
          </w:tcPr>
          <w:p>
            <w:pPr>
              <w:spacing w:after="40" w:line="269" w:lineRule="auto"/>
            </w:pPr>
            <w:r>
              <w:rPr>
                <w:b w:val="0"/>
                <w:color w:val="172B4D"/>
                <w:sz w:val="18"/>
              </w:rPr>
              <w:t>JuPedSim [S13]</w:t>
            </w:r>
          </w:p>
        </w:tc>
        <w:tc>
          <w:tcPr>
            <w:tcW w:type="dxa" w:w="4479"/>
            <w:vAlign w:val="center"/>
            <w:tcMar>
              <w:top w:w="80" w:type="dxa"/>
              <w:left w:w="95" w:type="dxa"/>
              <w:bottom w:w="80" w:type="dxa"/>
              <w:right w:w="95" w:type="dxa"/>
            </w:tcMar>
          </w:tcPr>
          <w:p>
            <w:pPr>
              <w:spacing w:after="40" w:line="269" w:lineRule="auto"/>
            </w:pPr>
            <w:r>
              <w:rPr>
                <w:b w:val="0"/>
                <w:color w:val="172B4D"/>
                <w:sz w:val="18"/>
              </w:rPr>
              <w:t>병목·계단·보조이동 등의 적용범위</w:t>
            </w:r>
          </w:p>
        </w:tc>
      </w:tr>
      <w:tr>
        <w:trPr>
          <w:cantSplit/>
        </w:trPr>
        <w:tc>
          <w:tcPr>
            <w:tcW w:type="dxa" w:w="1701"/>
            <w:vAlign w:val="center"/>
            <w:tcMar>
              <w:top w:w="80" w:type="dxa"/>
              <w:left w:w="95" w:type="dxa"/>
              <w:bottom w:w="80" w:type="dxa"/>
              <w:right w:w="95" w:type="dxa"/>
            </w:tcMar>
            <w:shd w:fill="F1F5F7"/>
          </w:tcPr>
          <w:p>
            <w:pPr>
              <w:spacing w:after="40" w:line="269" w:lineRule="auto"/>
            </w:pPr>
            <w:r>
              <w:rPr>
                <w:b w:val="0"/>
                <w:color w:val="172B4D"/>
                <w:sz w:val="18"/>
              </w:rPr>
              <w:t>열·연기</w:t>
            </w:r>
          </w:p>
        </w:tc>
        <w:tc>
          <w:tcPr>
            <w:tcW w:type="dxa" w:w="3685"/>
            <w:vAlign w:val="center"/>
            <w:tcMar>
              <w:top w:w="80" w:type="dxa"/>
              <w:left w:w="95" w:type="dxa"/>
              <w:bottom w:w="80" w:type="dxa"/>
              <w:right w:w="95" w:type="dxa"/>
            </w:tcMar>
            <w:shd w:fill="F1F5F7"/>
          </w:tcPr>
          <w:p>
            <w:pPr>
              <w:spacing w:after="40" w:line="269" w:lineRule="auto"/>
            </w:pPr>
            <w:r>
              <w:rPr>
                <w:b w:val="0"/>
                <w:color w:val="172B4D"/>
                <w:sz w:val="18"/>
              </w:rPr>
              <w:t>FDS 기준 계산 [S12]</w:t>
            </w:r>
          </w:p>
        </w:tc>
        <w:tc>
          <w:tcPr>
            <w:tcW w:type="dxa" w:w="4479"/>
            <w:vAlign w:val="center"/>
            <w:tcMar>
              <w:top w:w="80" w:type="dxa"/>
              <w:left w:w="95" w:type="dxa"/>
              <w:bottom w:w="80" w:type="dxa"/>
              <w:right w:w="95" w:type="dxa"/>
            </w:tcMar>
            <w:shd w:fill="F1F5F7"/>
          </w:tcPr>
          <w:p>
            <w:pPr>
              <w:spacing w:after="40" w:line="269" w:lineRule="auto"/>
            </w:pPr>
            <w:r>
              <w:rPr>
                <w:b w:val="0"/>
                <w:color w:val="172B4D"/>
                <w:sz w:val="18"/>
              </w:rPr>
              <w:t>물성·경계·수렴·독립 검증·비용</w:t>
            </w:r>
          </w:p>
        </w:tc>
      </w:tr>
      <w:tr>
        <w:trPr>
          <w:cantSplit/>
        </w:trPr>
        <w:tc>
          <w:tcPr>
            <w:tcW w:type="dxa" w:w="1701"/>
            <w:vAlign w:val="center"/>
            <w:tcMar>
              <w:top w:w="80" w:type="dxa"/>
              <w:left w:w="95" w:type="dxa"/>
              <w:bottom w:w="80" w:type="dxa"/>
              <w:right w:w="95" w:type="dxa"/>
            </w:tcMar>
          </w:tcPr>
          <w:p>
            <w:pPr>
              <w:spacing w:after="40" w:line="269" w:lineRule="auto"/>
            </w:pPr>
            <w:r>
              <w:rPr>
                <w:b w:val="0"/>
                <w:color w:val="172B4D"/>
                <w:sz w:val="18"/>
              </w:rPr>
              <w:t>교통·차량</w:t>
            </w:r>
          </w:p>
        </w:tc>
        <w:tc>
          <w:tcPr>
            <w:tcW w:type="dxa" w:w="3685"/>
            <w:vAlign w:val="center"/>
            <w:tcMar>
              <w:top w:w="80" w:type="dxa"/>
              <w:left w:w="95" w:type="dxa"/>
              <w:bottom w:w="80" w:type="dxa"/>
              <w:right w:w="95" w:type="dxa"/>
            </w:tcMar>
          </w:tcPr>
          <w:p>
            <w:pPr>
              <w:spacing w:after="40" w:line="269" w:lineRule="auto"/>
            </w:pPr>
            <w:r>
              <w:rPr>
                <w:b w:val="0"/>
                <w:color w:val="172B4D"/>
                <w:sz w:val="18"/>
              </w:rPr>
              <w:t>SUMO [S15]</w:t>
            </w:r>
          </w:p>
        </w:tc>
        <w:tc>
          <w:tcPr>
            <w:tcW w:type="dxa" w:w="4479"/>
            <w:vAlign w:val="center"/>
            <w:tcMar>
              <w:top w:w="80" w:type="dxa"/>
              <w:left w:w="95" w:type="dxa"/>
              <w:bottom w:w="80" w:type="dxa"/>
              <w:right w:w="95" w:type="dxa"/>
            </w:tcMar>
          </w:tcPr>
          <w:p>
            <w:pPr>
              <w:spacing w:after="40" w:line="269" w:lineRule="auto"/>
            </w:pPr>
            <w:r>
              <w:rPr>
                <w:b w:val="0"/>
                <w:color w:val="172B4D"/>
                <w:sz w:val="18"/>
              </w:rPr>
              <w:t>실제 조건과 가상 편의 처리 영향</w:t>
            </w:r>
          </w:p>
        </w:tc>
      </w:tr>
      <w:tr>
        <w:trPr>
          <w:cantSplit/>
        </w:trPr>
        <w:tc>
          <w:tcPr>
            <w:tcW w:type="dxa" w:w="1701"/>
            <w:vAlign w:val="center"/>
            <w:tcMar>
              <w:top w:w="80" w:type="dxa"/>
              <w:left w:w="95" w:type="dxa"/>
              <w:bottom w:w="80" w:type="dxa"/>
              <w:right w:w="95" w:type="dxa"/>
            </w:tcMar>
            <w:shd w:fill="F1F5F7"/>
          </w:tcPr>
          <w:p>
            <w:pPr>
              <w:spacing w:after="40" w:line="269" w:lineRule="auto"/>
            </w:pPr>
            <w:r>
              <w:rPr>
                <w:b w:val="0"/>
                <w:color w:val="172B4D"/>
                <w:sz w:val="18"/>
              </w:rPr>
              <w:t>계산 가속</w:t>
            </w:r>
          </w:p>
        </w:tc>
        <w:tc>
          <w:tcPr>
            <w:tcW w:type="dxa" w:w="3685"/>
            <w:vAlign w:val="center"/>
            <w:tcMar>
              <w:top w:w="80" w:type="dxa"/>
              <w:left w:w="95" w:type="dxa"/>
              <w:bottom w:w="80" w:type="dxa"/>
              <w:right w:w="95" w:type="dxa"/>
            </w:tcMar>
            <w:shd w:fill="F1F5F7"/>
          </w:tcPr>
          <w:p>
            <w:pPr>
              <w:spacing w:after="40" w:line="269" w:lineRule="auto"/>
            </w:pPr>
            <w:r>
              <w:rPr>
                <w:b w:val="0"/>
                <w:color w:val="172B4D"/>
                <w:sz w:val="18"/>
              </w:rPr>
              <w:t>ROM / PhysicsNeMo [S16]</w:t>
            </w:r>
          </w:p>
        </w:tc>
        <w:tc>
          <w:tcPr>
            <w:tcW w:type="dxa" w:w="4479"/>
            <w:vAlign w:val="center"/>
            <w:tcMar>
              <w:top w:w="80" w:type="dxa"/>
              <w:left w:w="95" w:type="dxa"/>
              <w:bottom w:w="80" w:type="dxa"/>
              <w:right w:w="95" w:type="dxa"/>
            </w:tcMar>
            <w:shd w:fill="F1F5F7"/>
          </w:tcPr>
          <w:p>
            <w:pPr>
              <w:spacing w:after="40" w:line="269" w:lineRule="auto"/>
            </w:pPr>
            <w:r>
              <w:rPr>
                <w:b w:val="0"/>
                <w:color w:val="172B4D"/>
                <w:sz w:val="18"/>
              </w:rPr>
              <w:t>학습범위·보존량·시계열 오차·이탈</w:t>
            </w:r>
          </w:p>
        </w:tc>
      </w:tr>
      <w:tr>
        <w:trPr>
          <w:cantSplit/>
        </w:trPr>
        <w:tc>
          <w:tcPr>
            <w:tcW w:type="dxa" w:w="1701"/>
            <w:vAlign w:val="center"/>
            <w:tcMar>
              <w:top w:w="80" w:type="dxa"/>
              <w:left w:w="95" w:type="dxa"/>
              <w:bottom w:w="80" w:type="dxa"/>
              <w:right w:w="95" w:type="dxa"/>
            </w:tcMar>
          </w:tcPr>
          <w:p>
            <w:pPr>
              <w:spacing w:after="40" w:line="269" w:lineRule="auto"/>
            </w:pPr>
            <w:r>
              <w:rPr>
                <w:b w:val="0"/>
                <w:color w:val="172B4D"/>
                <w:sz w:val="18"/>
              </w:rPr>
              <w:t>AI 저작</w:t>
            </w:r>
          </w:p>
        </w:tc>
        <w:tc>
          <w:tcPr>
            <w:tcW w:type="dxa" w:w="3685"/>
            <w:vAlign w:val="center"/>
            <w:tcMar>
              <w:top w:w="80" w:type="dxa"/>
              <w:left w:w="95" w:type="dxa"/>
              <w:bottom w:w="80" w:type="dxa"/>
              <w:right w:w="95" w:type="dxa"/>
            </w:tcMar>
          </w:tcPr>
          <w:p>
            <w:pPr>
              <w:spacing w:after="40" w:line="269" w:lineRule="auto"/>
            </w:pPr>
            <w:r>
              <w:rPr>
                <w:b w:val="0"/>
                <w:color w:val="172B4D"/>
                <w:sz w:val="18"/>
              </w:rPr>
              <w:t>검색·규칙·구조화 생성</w:t>
            </w:r>
          </w:p>
        </w:tc>
        <w:tc>
          <w:tcPr>
            <w:tcW w:type="dxa" w:w="4479"/>
            <w:vAlign w:val="center"/>
            <w:tcMar>
              <w:top w:w="80" w:type="dxa"/>
              <w:left w:w="95" w:type="dxa"/>
              <w:bottom w:w="80" w:type="dxa"/>
              <w:right w:w="95" w:type="dxa"/>
            </w:tcMar>
          </w:tcPr>
          <w:p>
            <w:pPr>
              <w:spacing w:after="40" w:line="269" w:lineRule="auto"/>
            </w:pPr>
            <w:r>
              <w:rPr>
                <w:b w:val="0"/>
                <w:color w:val="172B4D"/>
                <w:sz w:val="18"/>
              </w:rPr>
              <w:t>사실·가설·권고·출처·승인 구분</w:t>
            </w:r>
          </w:p>
        </w:tc>
      </w:tr>
    </w:tbl>
    <w:p/>
    <w:p>
      <w:pPr>
        <w:pStyle w:val="Heading2"/>
      </w:pPr>
      <w:r>
        <w:t>결합 시험이 필수다</w:t>
      </w:r>
    </w:p>
    <w:p>
      <w:r>
        <w:t>같은 사람의 위치를 두 엔진이 동시에 결정하거나, 문 상태·시간·단위가 서로 다르거나, 분기 후 전달 중 메시지가 사라지면 비교 결과가 무효가 된다. 필드별 소유자·시간·좌표·단위·버전·체크포인트를 공통 계약으로 묶는다.</w:t>
      </w:r>
    </w:p>
    <w:p>
      <w:r>
        <w:t>SUMO 긴급차량 문서에는 특정 교차로 상황의 silent teleport가 명시돼 있다. 도구의 옵션 이름만으로 한국 현장의 정밀 모델이라고 승인할 수 없다는 구체적인 예다. [S15]</w:t>
      </w:r>
    </w:p>
    <w:p>
      <w:pPr>
        <w:pStyle w:val="Heading2"/>
      </w:pPr>
      <w:r>
        <w:t>정확도 판정</w:t>
      </w:r>
    </w:p>
    <w:p>
      <w:r>
        <w:t>NIST는 디지털 트윈 신뢰성에 생애주기의 검증·타당화·불확도 평가를 요구하는 방법론을 논의한다. 제조 분야 연구를 철도 인증으로 전용하지 않는다. 기준 solver와 일치한 것과 현장 관측과 일치한 것도 구분한다. [S11]</w:t>
      </w:r>
    </w:p>
    <w:p>
      <w:r>
        <w:t>최신 모델 선택은 후보 비교의 시작이다. 무료 에셋은 시각 비용을 낮추지만 치수·물성·한국 외형·전문 동작·검수 비용은 남는다. [S20]</w:t>
      </w:r>
    </w:p>
    <w:p>
      <w:r>
        <w:br w:type="page"/>
      </w:r>
    </w:p>
    <w:p>
      <w:pPr>
        <w:pStyle w:val="Subtitle"/>
      </w:pPr>
      <w:r>
        <w:t>05  /  ADVERSARIAL REVIEW</w:t>
      </w:r>
    </w:p>
    <w:p>
      <w:pPr>
        <w:pStyle w:val="Heading1"/>
      </w:pPr>
      <w:r>
        <w:t>핵심 가설이 틀릴 가능성을 남긴다</w:t>
      </w:r>
    </w:p>
    <w:tbl>
      <w:tblPr>
        <w:tblW w:type="auto" w:w="0"/>
        <w:jc w:val="center"/>
        <w:tblLayout w:type="fixed"/>
        <w:tblLook w:firstColumn="1" w:firstRow="1" w:lastColumn="0" w:lastRow="0" w:noHBand="0" w:noVBand="1" w:val="04A0"/>
      </w:tblPr>
      <w:tblGrid>
        <w:gridCol w:w="3005"/>
        <w:gridCol w:w="1984"/>
        <w:gridCol w:w="4876"/>
      </w:tblGrid>
      <w:tr>
        <w:trPr>
          <w:tblHeader/>
          <w:cantSplit/>
        </w:trPr>
        <w:tc>
          <w:tcPr>
            <w:tcW w:type="dxa" w:w="3005"/>
            <w:vAlign w:val="center"/>
            <w:tcMar>
              <w:top w:w="80" w:type="dxa"/>
              <w:left w:w="95" w:type="dxa"/>
              <w:bottom w:w="80" w:type="dxa"/>
              <w:right w:w="95" w:type="dxa"/>
            </w:tcMar>
            <w:shd w:fill="172B4D"/>
          </w:tcPr>
          <w:p>
            <w:pPr>
              <w:spacing w:after="40" w:line="269" w:lineRule="auto"/>
            </w:pPr>
            <w:r>
              <w:rPr>
                <w:b/>
                <w:color w:val="FFFFFF"/>
                <w:sz w:val="18"/>
              </w:rPr>
              <w:t>반박</w:t>
            </w:r>
          </w:p>
        </w:tc>
        <w:tc>
          <w:tcPr>
            <w:tcW w:type="dxa" w:w="1984"/>
            <w:vAlign w:val="center"/>
            <w:tcMar>
              <w:top w:w="80" w:type="dxa"/>
              <w:left w:w="95" w:type="dxa"/>
              <w:bottom w:w="80" w:type="dxa"/>
              <w:right w:w="95" w:type="dxa"/>
            </w:tcMar>
            <w:shd w:fill="172B4D"/>
          </w:tcPr>
          <w:p>
            <w:pPr>
              <w:spacing w:after="40" w:line="269" w:lineRule="auto"/>
            </w:pPr>
            <w:r>
              <w:rPr>
                <w:b/>
                <w:color w:val="FFFFFF"/>
                <w:sz w:val="18"/>
              </w:rPr>
              <w:t>현재 판정</w:t>
            </w:r>
          </w:p>
        </w:tc>
        <w:tc>
          <w:tcPr>
            <w:tcW w:type="dxa" w:w="4876"/>
            <w:vAlign w:val="center"/>
            <w:tcMar>
              <w:top w:w="80" w:type="dxa"/>
              <w:left w:w="95" w:type="dxa"/>
              <w:bottom w:w="80" w:type="dxa"/>
              <w:right w:w="95" w:type="dxa"/>
            </w:tcMar>
            <w:shd w:fill="172B4D"/>
          </w:tcPr>
          <w:p>
            <w:pPr>
              <w:spacing w:after="40" w:line="269" w:lineRule="auto"/>
            </w:pPr>
            <w:r>
              <w:rPr>
                <w:b/>
                <w:color w:val="FFFFFF"/>
                <w:sz w:val="18"/>
              </w:rPr>
              <w:t>통과에 필요한 근거</w:t>
            </w:r>
          </w:p>
        </w:tc>
      </w:tr>
      <w:tr>
        <w:trPr>
          <w:cantSplit/>
        </w:trPr>
        <w:tc>
          <w:tcPr>
            <w:tcW w:type="dxa" w:w="3005"/>
            <w:vAlign w:val="center"/>
            <w:tcMar>
              <w:top w:w="80" w:type="dxa"/>
              <w:left w:w="95" w:type="dxa"/>
              <w:bottom w:w="80" w:type="dxa"/>
              <w:right w:w="95" w:type="dxa"/>
            </w:tcMar>
          </w:tcPr>
          <w:p>
            <w:pPr>
              <w:spacing w:after="40" w:line="269" w:lineRule="auto"/>
            </w:pPr>
            <w:r>
              <w:rPr>
                <w:b w:val="0"/>
                <w:color w:val="172B4D"/>
                <w:sz w:val="18"/>
              </w:rPr>
              <w:t>게임이 일을 더 늘리지 않는가?</w:t>
            </w:r>
          </w:p>
        </w:tc>
        <w:tc>
          <w:tcPr>
            <w:tcW w:type="dxa" w:w="1984"/>
            <w:vAlign w:val="center"/>
            <w:tcMar>
              <w:top w:w="80" w:type="dxa"/>
              <w:left w:w="95" w:type="dxa"/>
              <w:bottom w:w="80" w:type="dxa"/>
              <w:right w:w="95" w:type="dxa"/>
            </w:tcMar>
          </w:tcPr>
          <w:p>
            <w:pPr>
              <w:spacing w:after="40" w:line="269" w:lineRule="auto"/>
            </w:pPr>
            <w:r>
              <w:rPr>
                <w:b w:val="0"/>
                <w:color w:val="172B4D"/>
                <w:sz w:val="18"/>
              </w:rPr>
              <w:t>미검증</w:t>
            </w:r>
          </w:p>
        </w:tc>
        <w:tc>
          <w:tcPr>
            <w:tcW w:type="dxa" w:w="4876"/>
            <w:vAlign w:val="center"/>
            <w:tcMar>
              <w:top w:w="80" w:type="dxa"/>
              <w:left w:w="95" w:type="dxa"/>
              <w:bottom w:w="80" w:type="dxa"/>
              <w:right w:w="95" w:type="dxa"/>
            </w:tcMar>
          </w:tcPr>
          <w:p>
            <w:pPr>
              <w:spacing w:after="40" w:line="269" w:lineRule="auto"/>
            </w:pPr>
            <w:r>
              <w:rPr>
                <w:b w:val="0"/>
                <w:color w:val="172B4D"/>
                <w:sz w:val="18"/>
              </w:rPr>
              <w:t>표/타임라인 대비 3D의 추가 가치</w:t>
            </w:r>
          </w:p>
        </w:tc>
      </w:tr>
      <w:tr>
        <w:trPr>
          <w:cantSplit/>
        </w:trPr>
        <w:tc>
          <w:tcPr>
            <w:tcW w:type="dxa" w:w="3005"/>
            <w:vAlign w:val="center"/>
            <w:tcMar>
              <w:top w:w="80" w:type="dxa"/>
              <w:left w:w="95" w:type="dxa"/>
              <w:bottom w:w="80" w:type="dxa"/>
              <w:right w:w="95" w:type="dxa"/>
            </w:tcMar>
            <w:shd w:fill="F1F5F7"/>
          </w:tcPr>
          <w:p>
            <w:pPr>
              <w:spacing w:after="40" w:line="269" w:lineRule="auto"/>
            </w:pPr>
            <w:r>
              <w:rPr>
                <w:b w:val="0"/>
                <w:color w:val="172B4D"/>
                <w:sz w:val="18"/>
              </w:rPr>
              <w:t>초기 자료·규칙 구축비를 숨겼는가?</w:t>
            </w:r>
          </w:p>
        </w:tc>
        <w:tc>
          <w:tcPr>
            <w:tcW w:type="dxa" w:w="1984"/>
            <w:vAlign w:val="center"/>
            <w:tcMar>
              <w:top w:w="80" w:type="dxa"/>
              <w:left w:w="95" w:type="dxa"/>
              <w:bottom w:w="80" w:type="dxa"/>
              <w:right w:w="95" w:type="dxa"/>
            </w:tcMar>
            <w:shd w:fill="F1F5F7"/>
          </w:tcPr>
          <w:p>
            <w:pPr>
              <w:spacing w:after="40" w:line="269" w:lineRule="auto"/>
            </w:pPr>
            <w:r>
              <w:rPr>
                <w:b w:val="0"/>
                <w:color w:val="172B4D"/>
                <w:sz w:val="18"/>
              </w:rPr>
              <w:t>미계측</w:t>
            </w:r>
          </w:p>
        </w:tc>
        <w:tc>
          <w:tcPr>
            <w:tcW w:type="dxa" w:w="4876"/>
            <w:vAlign w:val="center"/>
            <w:tcMar>
              <w:top w:w="80" w:type="dxa"/>
              <w:left w:w="95" w:type="dxa"/>
              <w:bottom w:w="80" w:type="dxa"/>
              <w:right w:w="95" w:type="dxa"/>
            </w:tcMar>
            <w:shd w:fill="F1F5F7"/>
          </w:tcPr>
          <w:p>
            <w:pPr>
              <w:spacing w:after="40" w:line="269" w:lineRule="auto"/>
            </w:pPr>
            <w:r>
              <w:rPr>
                <w:b w:val="0"/>
                <w:color w:val="172B4D"/>
                <w:sz w:val="18"/>
              </w:rPr>
              <w:t>초기+반복 총인시와 재사용 횟수</w:t>
            </w:r>
          </w:p>
        </w:tc>
      </w:tr>
      <w:tr>
        <w:trPr>
          <w:cantSplit/>
        </w:trPr>
        <w:tc>
          <w:tcPr>
            <w:tcW w:type="dxa" w:w="3005"/>
            <w:vAlign w:val="center"/>
            <w:tcMar>
              <w:top w:w="80" w:type="dxa"/>
              <w:left w:w="95" w:type="dxa"/>
              <w:bottom w:w="80" w:type="dxa"/>
              <w:right w:w="95" w:type="dxa"/>
            </w:tcMar>
          </w:tcPr>
          <w:p>
            <w:pPr>
              <w:spacing w:after="40" w:line="269" w:lineRule="auto"/>
            </w:pPr>
            <w:r>
              <w:rPr>
                <w:b w:val="0"/>
                <w:color w:val="172B4D"/>
                <w:sz w:val="18"/>
              </w:rPr>
              <w:t>경쟁제품보다 나은가?</w:t>
            </w:r>
          </w:p>
        </w:tc>
        <w:tc>
          <w:tcPr>
            <w:tcW w:type="dxa" w:w="1984"/>
            <w:vAlign w:val="center"/>
            <w:tcMar>
              <w:top w:w="80" w:type="dxa"/>
              <w:left w:w="95" w:type="dxa"/>
              <w:bottom w:w="80" w:type="dxa"/>
              <w:right w:w="95" w:type="dxa"/>
            </w:tcMar>
          </w:tcPr>
          <w:p>
            <w:pPr>
              <w:spacing w:after="40" w:line="269" w:lineRule="auto"/>
            </w:pPr>
            <w:r>
              <w:rPr>
                <w:b w:val="0"/>
                <w:color w:val="172B4D"/>
                <w:sz w:val="18"/>
              </w:rPr>
              <w:t>차별화 미검증</w:t>
            </w:r>
          </w:p>
        </w:tc>
        <w:tc>
          <w:tcPr>
            <w:tcW w:type="dxa" w:w="4876"/>
            <w:vAlign w:val="center"/>
            <w:tcMar>
              <w:top w:w="80" w:type="dxa"/>
              <w:left w:w="95" w:type="dxa"/>
              <w:bottom w:w="80" w:type="dxa"/>
              <w:right w:w="95" w:type="dxa"/>
            </w:tcMar>
          </w:tcPr>
          <w:p>
            <w:pPr>
              <w:spacing w:after="40" w:line="269" w:lineRule="auto"/>
            </w:pPr>
            <w:r>
              <w:rPr>
                <w:b w:val="0"/>
                <w:color w:val="172B4D"/>
                <w:sz w:val="18"/>
              </w:rPr>
              <w:t>동일 과업의 품질·수정·시간 비교</w:t>
            </w:r>
          </w:p>
        </w:tc>
      </w:tr>
      <w:tr>
        <w:trPr>
          <w:cantSplit/>
        </w:trPr>
        <w:tc>
          <w:tcPr>
            <w:tcW w:type="dxa" w:w="3005"/>
            <w:vAlign w:val="center"/>
            <w:tcMar>
              <w:top w:w="80" w:type="dxa"/>
              <w:left w:w="95" w:type="dxa"/>
              <w:bottom w:w="80" w:type="dxa"/>
              <w:right w:w="95" w:type="dxa"/>
            </w:tcMar>
            <w:shd w:fill="F1F5F7"/>
          </w:tcPr>
          <w:p>
            <w:pPr>
              <w:spacing w:after="40" w:line="269" w:lineRule="auto"/>
            </w:pPr>
            <w:r>
              <w:rPr>
                <w:b w:val="0"/>
                <w:color w:val="172B4D"/>
                <w:sz w:val="18"/>
              </w:rPr>
              <w:t>실물·규칙 입력이 충분한가?</w:t>
            </w:r>
          </w:p>
        </w:tc>
        <w:tc>
          <w:tcPr>
            <w:tcW w:type="dxa" w:w="1984"/>
            <w:vAlign w:val="center"/>
            <w:tcMar>
              <w:top w:w="80" w:type="dxa"/>
              <w:left w:w="95" w:type="dxa"/>
              <w:bottom w:w="80" w:type="dxa"/>
              <w:right w:w="95" w:type="dxa"/>
            </w:tcMar>
            <w:shd w:fill="F1F5F7"/>
          </w:tcPr>
          <w:p>
            <w:pPr>
              <w:spacing w:after="40" w:line="269" w:lineRule="auto"/>
            </w:pPr>
            <w:r>
              <w:rPr>
                <w:b w:val="0"/>
                <w:color w:val="172B4D"/>
                <w:sz w:val="18"/>
              </w:rPr>
              <w:t>공백 있음</w:t>
            </w:r>
          </w:p>
        </w:tc>
        <w:tc>
          <w:tcPr>
            <w:tcW w:type="dxa" w:w="4876"/>
            <w:vAlign w:val="center"/>
            <w:tcMar>
              <w:top w:w="80" w:type="dxa"/>
              <w:left w:w="95" w:type="dxa"/>
              <w:bottom w:w="80" w:type="dxa"/>
              <w:right w:w="95" w:type="dxa"/>
            </w:tcMar>
            <w:shd w:fill="F1F5F7"/>
          </w:tcPr>
          <w:p>
            <w:pPr>
              <w:spacing w:after="40" w:line="269" w:lineRule="auto"/>
            </w:pPr>
            <w:r>
              <w:rPr>
                <w:b w:val="0"/>
                <w:color w:val="172B4D"/>
                <w:sz w:val="18"/>
              </w:rPr>
              <w:t>대표 자료와 검수자 확보</w:t>
            </w:r>
          </w:p>
        </w:tc>
      </w:tr>
      <w:tr>
        <w:trPr>
          <w:cantSplit/>
        </w:trPr>
        <w:tc>
          <w:tcPr>
            <w:tcW w:type="dxa" w:w="3005"/>
            <w:vAlign w:val="center"/>
            <w:tcMar>
              <w:top w:w="80" w:type="dxa"/>
              <w:left w:w="95" w:type="dxa"/>
              <w:bottom w:w="80" w:type="dxa"/>
              <w:right w:w="95" w:type="dxa"/>
            </w:tcMar>
          </w:tcPr>
          <w:p>
            <w:pPr>
              <w:spacing w:after="40" w:line="269" w:lineRule="auto"/>
            </w:pPr>
            <w:r>
              <w:rPr>
                <w:b w:val="0"/>
                <w:color w:val="172B4D"/>
                <w:sz w:val="18"/>
              </w:rPr>
              <w:t>매뉴얼을 잘못된 절대명령으로 바꾸는가?</w:t>
            </w:r>
          </w:p>
        </w:tc>
        <w:tc>
          <w:tcPr>
            <w:tcW w:type="dxa" w:w="1984"/>
            <w:vAlign w:val="center"/>
            <w:tcMar>
              <w:top w:w="80" w:type="dxa"/>
              <w:left w:w="95" w:type="dxa"/>
              <w:bottom w:w="80" w:type="dxa"/>
              <w:right w:w="95" w:type="dxa"/>
            </w:tcMar>
          </w:tcPr>
          <w:p>
            <w:pPr>
              <w:spacing w:after="40" w:line="269" w:lineRule="auto"/>
            </w:pPr>
            <w:r>
              <w:rPr>
                <w:b w:val="0"/>
                <w:color w:val="172B4D"/>
                <w:sz w:val="18"/>
              </w:rPr>
              <w:t>번역 위험</w:t>
            </w:r>
          </w:p>
        </w:tc>
        <w:tc>
          <w:tcPr>
            <w:tcW w:type="dxa" w:w="4876"/>
            <w:vAlign w:val="center"/>
            <w:tcMar>
              <w:top w:w="80" w:type="dxa"/>
              <w:left w:w="95" w:type="dxa"/>
              <w:bottom w:w="80" w:type="dxa"/>
              <w:right w:w="95" w:type="dxa"/>
            </w:tcMar>
          </w:tcPr>
          <w:p>
            <w:pPr>
              <w:spacing w:after="40" w:line="269" w:lineRule="auto"/>
            </w:pPr>
            <w:r>
              <w:rPr>
                <w:b w:val="0"/>
                <w:color w:val="172B4D"/>
                <w:sz w:val="18"/>
              </w:rPr>
              <w:t>관할·판본·예외·승인 추적</w:t>
            </w:r>
          </w:p>
        </w:tc>
      </w:tr>
      <w:tr>
        <w:trPr>
          <w:cantSplit/>
        </w:trPr>
        <w:tc>
          <w:tcPr>
            <w:tcW w:type="dxa" w:w="3005"/>
            <w:vAlign w:val="center"/>
            <w:tcMar>
              <w:top w:w="80" w:type="dxa"/>
              <w:left w:w="95" w:type="dxa"/>
              <w:bottom w:w="80" w:type="dxa"/>
              <w:right w:w="95" w:type="dxa"/>
            </w:tcMar>
            <w:shd w:fill="F1F5F7"/>
          </w:tcPr>
          <w:p>
            <w:pPr>
              <w:spacing w:after="40" w:line="269" w:lineRule="auto"/>
            </w:pPr>
            <w:r>
              <w:rPr>
                <w:b w:val="0"/>
                <w:color w:val="172B4D"/>
                <w:sz w:val="18"/>
              </w:rPr>
              <w:t>복잡한 계산이 과신을 만드는가?</w:t>
            </w:r>
          </w:p>
        </w:tc>
        <w:tc>
          <w:tcPr>
            <w:tcW w:type="dxa" w:w="1984"/>
            <w:vAlign w:val="center"/>
            <w:tcMar>
              <w:top w:w="80" w:type="dxa"/>
              <w:left w:w="95" w:type="dxa"/>
              <w:bottom w:w="80" w:type="dxa"/>
              <w:right w:w="95" w:type="dxa"/>
            </w:tcMar>
            <w:shd w:fill="F1F5F7"/>
          </w:tcPr>
          <w:p>
            <w:pPr>
              <w:spacing w:after="40" w:line="269" w:lineRule="auto"/>
            </w:pPr>
            <w:r>
              <w:rPr>
                <w:b w:val="0"/>
                <w:color w:val="172B4D"/>
                <w:sz w:val="18"/>
              </w:rPr>
              <w:t>정확도 미검증</w:t>
            </w:r>
          </w:p>
        </w:tc>
        <w:tc>
          <w:tcPr>
            <w:tcW w:type="dxa" w:w="4876"/>
            <w:vAlign w:val="center"/>
            <w:tcMar>
              <w:top w:w="80" w:type="dxa"/>
              <w:left w:w="95" w:type="dxa"/>
              <w:bottom w:w="80" w:type="dxa"/>
              <w:right w:w="95" w:type="dxa"/>
            </w:tcMar>
            <w:shd w:fill="F1F5F7"/>
          </w:tcPr>
          <w:p>
            <w:pPr>
              <w:spacing w:after="40" w:line="269" w:lineRule="auto"/>
            </w:pPr>
            <w:r>
              <w:rPr>
                <w:b w:val="0"/>
                <w:color w:val="172B4D"/>
                <w:sz w:val="18"/>
              </w:rPr>
              <w:t>용도·불확도·범위·독립 검증</w:t>
            </w:r>
          </w:p>
        </w:tc>
      </w:tr>
      <w:tr>
        <w:trPr>
          <w:cantSplit/>
        </w:trPr>
        <w:tc>
          <w:tcPr>
            <w:tcW w:type="dxa" w:w="3005"/>
            <w:vAlign w:val="center"/>
            <w:tcMar>
              <w:top w:w="80" w:type="dxa"/>
              <w:left w:w="95" w:type="dxa"/>
              <w:bottom w:w="80" w:type="dxa"/>
              <w:right w:w="95" w:type="dxa"/>
            </w:tcMar>
          </w:tcPr>
          <w:p>
            <w:pPr>
              <w:spacing w:after="40" w:line="269" w:lineRule="auto"/>
            </w:pPr>
            <w:r>
              <w:rPr>
                <w:b w:val="0"/>
                <w:color w:val="172B4D"/>
                <w:sz w:val="18"/>
              </w:rPr>
              <w:t>최종 파일을 다시 고쳐야 하는가?</w:t>
            </w:r>
          </w:p>
        </w:tc>
        <w:tc>
          <w:tcPr>
            <w:tcW w:type="dxa" w:w="1984"/>
            <w:vAlign w:val="center"/>
            <w:tcMar>
              <w:top w:w="80" w:type="dxa"/>
              <w:left w:w="95" w:type="dxa"/>
              <w:bottom w:w="80" w:type="dxa"/>
              <w:right w:w="95" w:type="dxa"/>
            </w:tcMar>
          </w:tcPr>
          <w:p>
            <w:pPr>
              <w:spacing w:after="40" w:line="269" w:lineRule="auto"/>
            </w:pPr>
            <w:r>
              <w:rPr>
                <w:b w:val="0"/>
                <w:color w:val="172B4D"/>
                <w:sz w:val="18"/>
              </w:rPr>
              <w:t>양식 미검토</w:t>
            </w:r>
          </w:p>
        </w:tc>
        <w:tc>
          <w:tcPr>
            <w:tcW w:type="dxa" w:w="4876"/>
            <w:vAlign w:val="center"/>
            <w:tcMar>
              <w:top w:w="80" w:type="dxa"/>
              <w:left w:w="95" w:type="dxa"/>
              <w:bottom w:w="80" w:type="dxa"/>
              <w:right w:w="95" w:type="dxa"/>
            </w:tcMar>
          </w:tcPr>
          <w:p>
            <w:pPr>
              <w:spacing w:after="40" w:line="269" w:lineRule="auto"/>
            </w:pPr>
            <w:r>
              <w:rPr>
                <w:b w:val="0"/>
                <w:color w:val="172B4D"/>
                <w:sz w:val="18"/>
              </w:rPr>
              <w:t>실제 서식·검수자의 수정량</w:t>
            </w:r>
          </w:p>
        </w:tc>
      </w:tr>
      <w:tr>
        <w:trPr>
          <w:cantSplit/>
        </w:trPr>
        <w:tc>
          <w:tcPr>
            <w:tcW w:type="dxa" w:w="3005"/>
            <w:vAlign w:val="center"/>
            <w:tcMar>
              <w:top w:w="80" w:type="dxa"/>
              <w:left w:w="95" w:type="dxa"/>
              <w:bottom w:w="80" w:type="dxa"/>
              <w:right w:w="95" w:type="dxa"/>
            </w:tcMar>
            <w:shd w:fill="F1F5F7"/>
          </w:tcPr>
          <w:p>
            <w:pPr>
              <w:spacing w:after="40" w:line="269" w:lineRule="auto"/>
            </w:pPr>
            <w:r>
              <w:rPr>
                <w:b w:val="0"/>
                <w:color w:val="172B4D"/>
                <w:sz w:val="18"/>
              </w:rPr>
              <w:t>고객이 비용과 유지보수를 감당하는가?</w:t>
            </w:r>
          </w:p>
        </w:tc>
        <w:tc>
          <w:tcPr>
            <w:tcW w:type="dxa" w:w="1984"/>
            <w:vAlign w:val="center"/>
            <w:tcMar>
              <w:top w:w="80" w:type="dxa"/>
              <w:left w:w="95" w:type="dxa"/>
              <w:bottom w:w="80" w:type="dxa"/>
              <w:right w:w="95" w:type="dxa"/>
            </w:tcMar>
            <w:shd w:fill="F1F5F7"/>
          </w:tcPr>
          <w:p>
            <w:pPr>
              <w:spacing w:after="40" w:line="269" w:lineRule="auto"/>
            </w:pPr>
            <w:r>
              <w:rPr>
                <w:b w:val="0"/>
                <w:color w:val="172B4D"/>
                <w:sz w:val="18"/>
              </w:rPr>
              <w:t>미확인</w:t>
            </w:r>
          </w:p>
        </w:tc>
        <w:tc>
          <w:tcPr>
            <w:tcW w:type="dxa" w:w="4876"/>
            <w:vAlign w:val="center"/>
            <w:tcMar>
              <w:top w:w="80" w:type="dxa"/>
              <w:left w:w="95" w:type="dxa"/>
              <w:bottom w:w="80" w:type="dxa"/>
              <w:right w:w="95" w:type="dxa"/>
            </w:tcMar>
            <w:shd w:fill="F1F5F7"/>
          </w:tcPr>
          <w:p>
            <w:pPr>
              <w:spacing w:after="40" w:line="269" w:lineRule="auto"/>
            </w:pPr>
            <w:r>
              <w:rPr>
                <w:b w:val="0"/>
                <w:color w:val="172B4D"/>
                <w:sz w:val="18"/>
              </w:rPr>
              <w:t>구매·배포·다음 사용의 실제 협의</w:t>
            </w:r>
          </w:p>
        </w:tc>
      </w:tr>
    </w:tbl>
    <w:p/>
    <w:p>
      <w:pPr>
        <w:pStyle w:val="Heading2"/>
      </w:pPr>
      <w:r>
        <w:t>현 시점의 판정</w:t>
      </w:r>
    </w:p>
    <w:p>
      <w:r>
        <w:t>문제 분야의 필요성은 근거가 있다. 작은 현장·한 공조 흐름의 실증은 진행할 만하다. 그러나 RTS의 우월성·총시간 절감·지불의사·현장 예측은 통과하지 않았다. 전면 확장과 “실제 대응에 최적인 안”이라는 주장은 보류한다.</w:t>
      </w:r>
    </w:p>
    <w:p>
      <w:pPr>
        <w:pStyle w:val="Heading2"/>
      </w:pPr>
      <w:r>
        <w:t>기존 방향을 버리는 평가가 아니다</w:t>
      </w:r>
    </w:p>
    <w:p>
      <w:r>
        <w:t>운영 시뮬레이션, 작성자 중심, 튜토리얼/일반 두 모드, 무료 우선 자산, 지원 영역의 정밀 계산은 유지한다. 기존 문서의 AAA나 테스트 횟수를 새 제품의 효용으로 상속하지 않는다. 반려 사유를 없애려면 추가 문서가 아니라 실제 입력·사용·비교가 필요하다.</w:t>
      </w:r>
    </w:p>
    <w:p>
      <w:r>
        <w:br w:type="page"/>
      </w:r>
    </w:p>
    <w:p>
      <w:pPr>
        <w:pStyle w:val="Subtitle"/>
      </w:pPr>
      <w:r>
        <w:t>06  /  VALIDATION PLAN</w:t>
      </w:r>
    </w:p>
    <w:p>
      <w:pPr>
        <w:pStyle w:val="Heading1"/>
      </w:pPr>
      <w:r>
        <w:t>아이디어의 합격 조건을 먼저 고정한다</w:t>
      </w:r>
    </w:p>
    <w:p>
      <w:pPr>
        <w:pStyle w:val="Heading2"/>
      </w:pPr>
      <w:r>
        <w:t>1. 실제 최근 작업을 관찰한다</w:t>
      </w:r>
    </w:p>
    <w:p>
      <w:r>
        <w:t>작성자 6명, 기관 협조·검수자 3명, 자료·정보화 담당자 1명을 제안 표본으로 한다. 실제 최근 대본·수정 이유·일정을 보며 직접 작업과 회신 대기를 구분한다. 이 숫자는 모집 완료나 통계적 대표성이 아니다.</w:t>
      </w:r>
    </w:p>
    <w:p>
      <w:pPr>
        <w:pStyle w:val="Heading2"/>
      </w:pPr>
      <w:r>
        <w:t>2. 세 조건으로 형성적 비교를 한다</w:t>
      </w:r>
    </w:p>
    <w:tbl>
      <w:tblPr>
        <w:tblW w:type="auto" w:w="0"/>
        <w:jc w:val="center"/>
        <w:tblLayout w:type="fixed"/>
        <w:tblLook w:firstColumn="1" w:firstRow="1" w:lastColumn="0" w:lastRow="0" w:noHBand="0" w:noVBand="1" w:val="04A0"/>
      </w:tblPr>
      <w:tblGrid>
        <w:gridCol w:w="2835"/>
        <w:gridCol w:w="7030"/>
      </w:tblGrid>
      <w:tr>
        <w:trPr>
          <w:tblHeader/>
          <w:cantSplit/>
        </w:trPr>
        <w:tc>
          <w:tcPr>
            <w:tcW w:type="dxa" w:w="2835"/>
            <w:vAlign w:val="center"/>
            <w:tcMar>
              <w:top w:w="80" w:type="dxa"/>
              <w:left w:w="95" w:type="dxa"/>
              <w:bottom w:w="80" w:type="dxa"/>
              <w:right w:w="95" w:type="dxa"/>
            </w:tcMar>
            <w:shd w:fill="172B4D"/>
          </w:tcPr>
          <w:p>
            <w:pPr>
              <w:spacing w:after="40" w:line="269" w:lineRule="auto"/>
            </w:pPr>
            <w:r>
              <w:rPr>
                <w:b/>
                <w:color w:val="FFFFFF"/>
                <w:sz w:val="18"/>
              </w:rPr>
              <w:t>조건</w:t>
            </w:r>
          </w:p>
        </w:tc>
        <w:tc>
          <w:tcPr>
            <w:tcW w:type="dxa" w:w="7030"/>
            <w:vAlign w:val="center"/>
            <w:tcMar>
              <w:top w:w="80" w:type="dxa"/>
              <w:left w:w="95" w:type="dxa"/>
              <w:bottom w:w="80" w:type="dxa"/>
              <w:right w:w="95" w:type="dxa"/>
            </w:tcMar>
            <w:shd w:fill="172B4D"/>
          </w:tcPr>
          <w:p>
            <w:pPr>
              <w:spacing w:after="40" w:line="269" w:lineRule="auto"/>
            </w:pPr>
            <w:r>
              <w:rPr>
                <w:b/>
                <w:color w:val="FFFFFF"/>
                <w:sz w:val="18"/>
              </w:rPr>
              <w:t>비교 내용</w:t>
            </w:r>
          </w:p>
        </w:tc>
      </w:tr>
      <w:tr>
        <w:trPr>
          <w:cantSplit/>
        </w:trPr>
        <w:tc>
          <w:tcPr>
            <w:tcW w:type="dxa" w:w="2835"/>
            <w:vAlign w:val="center"/>
            <w:tcMar>
              <w:top w:w="80" w:type="dxa"/>
              <w:left w:w="95" w:type="dxa"/>
              <w:bottom w:w="80" w:type="dxa"/>
              <w:right w:w="95" w:type="dxa"/>
            </w:tcMar>
          </w:tcPr>
          <w:p>
            <w:pPr>
              <w:spacing w:after="40" w:line="269" w:lineRule="auto"/>
            </w:pPr>
            <w:r>
              <w:rPr>
                <w:b w:val="0"/>
                <w:color w:val="172B4D"/>
                <w:sz w:val="18"/>
              </w:rPr>
              <w:t>A / 현재 방법</w:t>
            </w:r>
          </w:p>
        </w:tc>
        <w:tc>
          <w:tcPr>
            <w:tcW w:type="dxa" w:w="7030"/>
            <w:vAlign w:val="center"/>
            <w:tcMar>
              <w:top w:w="80" w:type="dxa"/>
              <w:left w:w="95" w:type="dxa"/>
              <w:bottom w:w="80" w:type="dxa"/>
              <w:right w:w="95" w:type="dxa"/>
            </w:tcMar>
          </w:tcPr>
          <w:p>
            <w:pPr>
              <w:spacing w:after="40" w:line="269" w:lineRule="auto"/>
            </w:pPr>
            <w:r>
              <w:rPr>
                <w:b w:val="0"/>
                <w:color w:val="172B4D"/>
                <w:sz w:val="18"/>
              </w:rPr>
              <w:t>고객이 실제 쓰는 문서·도구·회의 과정</w:t>
            </w:r>
          </w:p>
        </w:tc>
      </w:tr>
      <w:tr>
        <w:trPr>
          <w:cantSplit/>
        </w:trPr>
        <w:tc>
          <w:tcPr>
            <w:tcW w:type="dxa" w:w="2835"/>
            <w:vAlign w:val="center"/>
            <w:tcMar>
              <w:top w:w="80" w:type="dxa"/>
              <w:left w:w="95" w:type="dxa"/>
              <w:bottom w:w="80" w:type="dxa"/>
              <w:right w:w="95" w:type="dxa"/>
            </w:tcMar>
            <w:shd w:fill="F1F5F7"/>
          </w:tcPr>
          <w:p>
            <w:pPr>
              <w:spacing w:after="40" w:line="269" w:lineRule="auto"/>
            </w:pPr>
            <w:r>
              <w:rPr>
                <w:b w:val="0"/>
                <w:color w:val="172B4D"/>
                <w:sz w:val="18"/>
              </w:rPr>
              <w:t>B / 구조화 비교군</w:t>
            </w:r>
          </w:p>
        </w:tc>
        <w:tc>
          <w:tcPr>
            <w:tcW w:type="dxa" w:w="7030"/>
            <w:vAlign w:val="center"/>
            <w:tcMar>
              <w:top w:w="80" w:type="dxa"/>
              <w:left w:w="95" w:type="dxa"/>
              <w:bottom w:w="80" w:type="dxa"/>
              <w:right w:w="95" w:type="dxa"/>
            </w:tcMar>
            <w:shd w:fill="F1F5F7"/>
          </w:tcPr>
          <w:p>
            <w:pPr>
              <w:spacing w:after="40" w:line="269" w:lineRule="auto"/>
            </w:pPr>
            <w:r>
              <w:rPr>
                <w:b w:val="0"/>
                <w:color w:val="172B4D"/>
                <w:sz w:val="18"/>
              </w:rPr>
              <w:t>같은 데이터·AI·규칙·계산 + 표/타임라인, 3D 제외</w:t>
            </w:r>
          </w:p>
        </w:tc>
      </w:tr>
      <w:tr>
        <w:trPr>
          <w:cantSplit/>
        </w:trPr>
        <w:tc>
          <w:tcPr>
            <w:tcW w:type="dxa" w:w="2835"/>
            <w:vAlign w:val="center"/>
            <w:tcMar>
              <w:top w:w="80" w:type="dxa"/>
              <w:left w:w="95" w:type="dxa"/>
              <w:bottom w:w="80" w:type="dxa"/>
              <w:right w:w="95" w:type="dxa"/>
            </w:tcMar>
          </w:tcPr>
          <w:p>
            <w:pPr>
              <w:spacing w:after="40" w:line="269" w:lineRule="auto"/>
            </w:pPr>
            <w:r>
              <w:rPr>
                <w:b w:val="0"/>
                <w:color w:val="172B4D"/>
                <w:sz w:val="18"/>
              </w:rPr>
              <w:t>C / CHOOGuard</w:t>
            </w:r>
          </w:p>
        </w:tc>
        <w:tc>
          <w:tcPr>
            <w:tcW w:type="dxa" w:w="7030"/>
            <w:vAlign w:val="center"/>
            <w:tcMar>
              <w:top w:w="80" w:type="dxa"/>
              <w:left w:w="95" w:type="dxa"/>
              <w:bottom w:w="80" w:type="dxa"/>
              <w:right w:w="95" w:type="dxa"/>
            </w:tcMar>
          </w:tcPr>
          <w:p>
            <w:pPr>
              <w:spacing w:after="40" w:line="269" w:lineRule="auto"/>
            </w:pPr>
            <w:r>
              <w:rPr>
                <w:b w:val="0"/>
                <w:color w:val="172B4D"/>
                <w:sz w:val="18"/>
              </w:rPr>
              <w:t>같은 코어 + Unity RTS·공간 조작</w:t>
            </w:r>
          </w:p>
        </w:tc>
      </w:tr>
    </w:tbl>
    <w:p/>
    <w:p>
      <w:r>
        <w:t>8~12명의 실제 작성자를 대상으로 순서와 난이도를 균형화하는 제안이다. 평가자는 사용 도구를 모른 채 결과물을 검토한다. 개발 사례와 숨겨 둔 검증 사례를 분리한다. B는 연구 조건이지 세 번째 사용자 모드가 아니다.</w:t>
      </w:r>
    </w:p>
    <w:p>
      <w:pPr>
        <w:pStyle w:val="Heading2"/>
      </w:pPr>
      <w:r>
        <w:t>3. 시간·품질·추가 가치를 나눠 판정한다</w:t>
      </w:r>
    </w:p>
    <w:p>
      <w:r>
        <w:t>총인시 20% 감소는 시험 전에 합의할 목표다. 품질 저하를 속도 이득으로 상쇄하지 않는다. 중요한 권한·근거·완료 시험에서 오류가 나면 해당 배포 범위는 반려한다. 유한 시험의 0건을 현실의 완전성으로 일반화하지 않는다.</w:t>
      </w:r>
    </w:p>
    <w:p>
      <w:r>
        <w:t>3D가 B 대비 공간 문제 이해나 발견을 개선하지 못하면 그 기능을 줄이거나 수정한다. 운영 코어는 유지한다. 자료·검수자가 없다면 대상 정량 수용을 보류하되 독립 기능 개발 전체를 막지 않는다.</w:t>
      </w:r>
    </w:p>
    <w:p>
      <w:pPr>
        <w:pStyle w:val="Heading2"/>
      </w:pPr>
      <w:r>
        <w:t>4. 실제 훈련 적용은 별도로 검토한다</w:t>
      </w:r>
    </w:p>
    <w:p>
      <w:r>
        <w:t>현상별 검증 → 결합 시험 → 허용된 도상·시범 검토 → 기관의 해당 용도 수용. 실제 위험을 일으키거나 운영설비를 제어하는 실험은 하지 않는다. 현재 단계는 제한 실증 설계이며 현장시험 결과가 아니다.</w:t>
      </w:r>
    </w:p>
    <w:p>
      <w:r>
        <w:br w:type="page"/>
      </w:r>
    </w:p>
    <w:p>
      <w:pPr>
        <w:pStyle w:val="Subtitle"/>
      </w:pPr>
      <w:r>
        <w:t>07  /  SOURCE REGISTER</w:t>
      </w:r>
    </w:p>
    <w:p>
      <w:pPr>
        <w:pStyle w:val="Heading1"/>
      </w:pPr>
      <w:r>
        <w:t>근거와 확인 범위</w:t>
      </w:r>
    </w:p>
    <w:p>
      <w:r>
        <w:t>각 제목은 클릭 가능한 원문 링크다. 전체 한계·확인일·실험 상태는 SOURCES.md와 sources.json에 있다. 공개 사실, 공급자 설명, 연구 결과를 구분한다.</w:t>
      </w:r>
    </w:p>
    <w:p>
      <w:pPr>
        <w:spacing w:after="40"/>
      </w:pPr>
      <w:r>
        <w:rPr>
          <w:b/>
          <w:sz w:val="19"/>
        </w:rPr>
        <w:t xml:space="preserve">[S01] 행정안전부 · </w:t>
      </w:r>
      <w:hyperlink r:id="rId11">
        <w:r>
          <w:rPr>
            <w:color w:val="126C73"/>
            <w:rFonts w:ascii="Noto Sans CJK KR" w:hAnsi="Noto Sans CJK KR" w:eastAsia="Noto Sans CJK KR"/>
          </w:rPr>
          <w:t>상시훈련: 목적·주관기관·2024/2025 실시현황</w:t>
        </w:r>
      </w:hyperlink>
    </w:p>
    <w:p>
      <w:pPr>
        <w:spacing w:after="120" w:line="264" w:lineRule="auto"/>
      </w:pPr>
      <w:r>
        <w:rPr>
          <w:color w:val="526174"/>
          <w:sz w:val="17"/>
        </w:rPr>
        <w:t>작성자별 실제 업무시간·구매의사·2026년 전체 실적을 제공하지 않는다.</w:t>
      </w:r>
    </w:p>
    <w:p>
      <w:pPr>
        <w:spacing w:after="40"/>
      </w:pPr>
      <w:r>
        <w:rPr>
          <w:b/>
          <w:sz w:val="19"/>
        </w:rPr>
        <w:t xml:space="preserve">[S02] 행정안전부 · </w:t>
      </w:r>
      <w:hyperlink r:id="rId12">
        <w:r>
          <w:rPr>
            <w:color w:val="126C73"/>
            <w:rFonts w:ascii="Noto Sans CJK KR" w:hAnsi="Noto Sans CJK KR" w:eastAsia="Noto Sans CJK KR"/>
          </w:rPr>
          <w:t>2025년 상반기 안전한국훈련 실시</w:t>
        </w:r>
      </w:hyperlink>
    </w:p>
    <w:p>
      <w:pPr>
        <w:spacing w:after="120" w:line="264" w:lineRule="auto"/>
      </w:pPr>
      <w:r>
        <w:rPr>
          <w:color w:val="526174"/>
          <w:sz w:val="17"/>
        </w:rPr>
        <w:t>103개는 CHOOGuard 구매기관·좌석 수가 아니다. 첨부 원본 별도 분석은 하지 않았다.</w:t>
      </w:r>
    </w:p>
    <w:p>
      <w:pPr>
        <w:spacing w:after="40"/>
      </w:pPr>
      <w:r>
        <w:rPr>
          <w:b/>
          <w:sz w:val="19"/>
        </w:rPr>
        <w:t xml:space="preserve">[S03] 한국철도공사 · </w:t>
      </w:r>
      <w:hyperlink r:id="rId13">
        <w:r>
          <w:rPr>
            <w:color w:val="126C73"/>
            <w:rFonts w:ascii="Noto Sans CJK KR" w:hAnsi="Noto Sans CJK KR" w:eastAsia="Noto Sans CJK KR"/>
          </w:rPr>
          <w:t>수서평택고속선 KTX·SRT 연결 비상대응 훈련</w:t>
        </w:r>
      </w:hyperlink>
    </w:p>
    <w:p>
      <w:pPr>
        <w:spacing w:after="120" w:line="264" w:lineRule="auto"/>
      </w:pPr>
      <w:r>
        <w:rPr>
          <w:color w:val="526174"/>
          <w:sz w:val="17"/>
        </w:rPr>
        <w:t>참가자는 작성자 수가 아니며 보도자료는 전체 대본·작업시간·기관별 명부가 아니다.</w:t>
      </w:r>
    </w:p>
    <w:p>
      <w:pPr>
        <w:spacing w:after="40"/>
      </w:pPr>
      <w:r>
        <w:rPr>
          <w:b/>
          <w:sz w:val="19"/>
        </w:rPr>
        <w:t xml:space="preserve">[S04] SR · </w:t>
      </w:r>
      <w:hyperlink r:id="rId14">
        <w:r>
          <w:rPr>
            <w:color w:val="126C73"/>
            <w:rFonts w:ascii="Noto Sans CJK KR" w:hAnsi="Noto Sans CJK KR" w:eastAsia="Noto Sans CJK KR"/>
          </w:rPr>
          <w:t>메타버스에서 철도안전 미래 다져</w:t>
        </w:r>
      </w:hyperlink>
    </w:p>
    <w:p>
      <w:pPr>
        <w:spacing w:after="120" w:line="264" w:lineRule="auto"/>
      </w:pPr>
      <w:r>
        <w:rPr>
          <w:color w:val="526174"/>
          <w:sz w:val="17"/>
        </w:rPr>
        <w:t>운영기관의 발표이며 작성시간 절감이나 정량 물리 정확도의 독립 실험 결과는 아니다.</w:t>
      </w:r>
    </w:p>
    <w:p>
      <w:pPr>
        <w:spacing w:after="40"/>
      </w:pPr>
      <w:r>
        <w:rPr>
          <w:b/>
          <w:sz w:val="19"/>
        </w:rPr>
        <w:t xml:space="preserve">[S05] FEMA · </w:t>
      </w:r>
      <w:hyperlink r:id="rId15">
        <w:r>
          <w:rPr>
            <w:color w:val="126C73"/>
            <w:rFonts w:ascii="Noto Sans CJK KR" w:hAnsi="Noto Sans CJK KR" w:eastAsia="Noto Sans CJK KR"/>
          </w:rPr>
          <w:t>HSEEP Design and Development</w:t>
        </w:r>
      </w:hyperlink>
    </w:p>
    <w:p>
      <w:pPr>
        <w:spacing w:after="120" w:line="264" w:lineRule="auto"/>
      </w:pPr>
      <w:r>
        <w:rPr>
          <w:color w:val="526174"/>
          <w:sz w:val="17"/>
        </w:rPr>
        <w:t>미국 지침이며 한국 철도 현행 절차·업무시간으로 전용하지 않는다.</w:t>
      </w:r>
    </w:p>
    <w:p>
      <w:pPr>
        <w:spacing w:after="40"/>
      </w:pPr>
      <w:r>
        <w:rPr>
          <w:b/>
          <w:sz w:val="19"/>
        </w:rPr>
        <w:t xml:space="preserve">[S06] 뉴스핌 · </w:t>
      </w:r>
      <w:hyperlink r:id="rId16">
        <w:r>
          <w:rPr>
            <w:color w:val="126C73"/>
            <w:rFonts w:ascii="Noto Sans CJK KR" w:hAnsi="Noto Sans CJK KR" w:eastAsia="Noto Sans CJK KR"/>
          </w:rPr>
          <w:t>과천시 안전한국훈련 평가 우수기관 선정</w:t>
        </w:r>
      </w:hyperlink>
    </w:p>
    <w:p>
      <w:pPr>
        <w:spacing w:after="120" w:line="264" w:lineRule="auto"/>
      </w:pPr>
      <w:r>
        <w:rPr>
          <w:color w:val="526174"/>
          <w:sz w:val="17"/>
        </w:rPr>
        <w:t>철도 사례나 평균 준비시간이 아니고 회의 길이·참석자별 투입시간도 미기재.</w:t>
      </w:r>
    </w:p>
    <w:p>
      <w:pPr>
        <w:spacing w:after="40"/>
      </w:pPr>
      <w:r>
        <w:rPr>
          <w:b/>
          <w:sz w:val="19"/>
        </w:rPr>
        <w:t xml:space="preserve">[S07] FEMA · </w:t>
      </w:r>
      <w:hyperlink r:id="rId17">
        <w:r>
          <w:rPr>
            <w:color w:val="126C73"/>
            <w:rFonts w:ascii="Noto Sans CJK KR" w:hAnsi="Noto Sans CJK KR" w:eastAsia="Noto Sans CJK KR"/>
          </w:rPr>
          <w:t>Exercise Builder</w:t>
        </w:r>
      </w:hyperlink>
    </w:p>
    <w:p>
      <w:pPr>
        <w:spacing w:after="120" w:line="264" w:lineRule="auto"/>
      </w:pPr>
      <w:r>
        <w:rPr>
          <w:color w:val="526174"/>
          <w:sz w:val="17"/>
        </w:rPr>
        <w:t>이용은 vetted 계정이 필요하다. 한국기관의 무료 이용 가능성·업무 적합성은 미확인.</w:t>
      </w:r>
    </w:p>
    <w:p>
      <w:pPr>
        <w:spacing w:after="40"/>
      </w:pPr>
      <w:r>
        <w:rPr>
          <w:b/>
          <w:sz w:val="19"/>
        </w:rPr>
        <w:t xml:space="preserve">[S08] Conducttr · </w:t>
      </w:r>
      <w:hyperlink r:id="rId18">
        <w:r>
          <w:rPr>
            <w:color w:val="126C73"/>
            <w:rFonts w:ascii="Noto Sans CJK KR" w:hAnsi="Noto Sans CJK KR" w:eastAsia="Noto Sans CJK KR"/>
          </w:rPr>
          <w:t>AI Assistance</w:t>
        </w:r>
      </w:hyperlink>
    </w:p>
    <w:p>
      <w:pPr>
        <w:spacing w:after="120" w:line="264" w:lineRule="auto"/>
      </w:pPr>
      <w:r>
        <w:rPr>
          <w:color w:val="526174"/>
          <w:sz w:val="17"/>
        </w:rPr>
        <w:t>수분 생성 등 속도 표현은 업체 주장이다. 독립 검수까지의 시간 절감으로 간주하지 않는다.</w:t>
      </w:r>
    </w:p>
    <w:p>
      <w:pPr>
        <w:spacing w:after="40"/>
      </w:pPr>
      <w:r>
        <w:rPr>
          <w:b/>
          <w:sz w:val="19"/>
        </w:rPr>
        <w:t xml:space="preserve">[S09] XVR Simulation · </w:t>
      </w:r>
      <w:hyperlink r:id="rId19">
        <w:r>
          <w:rPr>
            <w:color w:val="126C73"/>
            <w:rFonts w:ascii="Noto Sans CJK KR" w:hAnsi="Noto Sans CJK KR" w:eastAsia="Noto Sans CJK KR"/>
          </w:rPr>
          <w:t>The XVR Platform</w:t>
        </w:r>
      </w:hyperlink>
    </w:p>
    <w:p>
      <w:pPr>
        <w:spacing w:after="120" w:line="264" w:lineRule="auto"/>
      </w:pPr>
      <w:r>
        <w:rPr>
          <w:color w:val="526174"/>
          <w:sz w:val="17"/>
        </w:rPr>
        <w:t>국내 철도 매뉴얼 적용·작성 업무 생산성·현장 예측 성능은 이 페이지로 입증되지 않는다.</w:t>
      </w:r>
    </w:p>
    <w:p>
      <w:pPr>
        <w:spacing w:after="40"/>
      </w:pPr>
      <w:r>
        <w:rPr>
          <w:b/>
          <w:sz w:val="19"/>
        </w:rPr>
        <w:t xml:space="preserve">[S10] Delgado Community College · </w:t>
      </w:r>
      <w:hyperlink r:id="rId20">
        <w:r>
          <w:rPr>
            <w:color w:val="126C73"/>
            <w:rFonts w:ascii="Noto Sans CJK KR" w:hAnsi="Noto Sans CJK KR" w:eastAsia="Noto Sans CJK KR"/>
          </w:rPr>
          <w:t>Virtual Reality Incident Command Training</w:t>
        </w:r>
      </w:hyperlink>
    </w:p>
    <w:p>
      <w:pPr>
        <w:spacing w:after="120" w:line="264" w:lineRule="auto"/>
      </w:pPr>
      <w:r>
        <w:rPr>
          <w:color w:val="526174"/>
          <w:sz w:val="17"/>
        </w:rPr>
        <w:t>현재 제품 판매 범위·최신 가격·한국 적합성·생산성 비교 실험은 아니다.</w:t>
      </w:r>
    </w:p>
    <w:p>
      <w:pPr>
        <w:spacing w:after="40"/>
      </w:pPr>
      <w:r>
        <w:rPr>
          <w:b/>
          <w:sz w:val="19"/>
        </w:rPr>
        <w:t xml:space="preserve">[S11] NIST / Manufacturing Letters · </w:t>
      </w:r>
      <w:hyperlink r:id="rId21">
        <w:r>
          <w:rPr>
            <w:color w:val="126C73"/>
            <w:rFonts w:ascii="Noto Sans CJK KR" w:hAnsi="Noto Sans CJK KR" w:eastAsia="Noto Sans CJK KR"/>
          </w:rPr>
          <w:t>Credibility Consideration for Digital Twins in Manufacturing</w:t>
        </w:r>
      </w:hyperlink>
    </w:p>
    <w:p>
      <w:pPr>
        <w:spacing w:after="120" w:line="264" w:lineRule="auto"/>
      </w:pPr>
      <w:r>
        <w:rPr>
          <w:color w:val="526174"/>
          <w:sz w:val="17"/>
        </w:rPr>
        <w:t>제조 분야 방법론이다. 철도 대응 모델의 검증을 대신하지 않는다. 논문 PDF 전체는 미분석.</w:t>
      </w:r>
    </w:p>
    <w:p>
      <w:pPr>
        <w:spacing w:after="40"/>
      </w:pPr>
      <w:r>
        <w:rPr>
          <w:b/>
          <w:sz w:val="19"/>
        </w:rPr>
        <w:t xml:space="preserve">[S12] NIST · </w:t>
      </w:r>
      <w:hyperlink r:id="rId22">
        <w:r>
          <w:rPr>
            <w:color w:val="126C73"/>
            <w:rFonts w:ascii="Noto Sans CJK KR" w:hAnsi="Noto Sans CJK KR" w:eastAsia="Noto Sans CJK KR"/>
          </w:rPr>
          <w:t>FDS-SMV Manuals</w:t>
        </w:r>
      </w:hyperlink>
    </w:p>
    <w:p>
      <w:pPr>
        <w:spacing w:after="120" w:line="264" w:lineRule="auto"/>
      </w:pPr>
      <w:r>
        <w:rPr>
          <w:color w:val="526174"/>
          <w:sz w:val="17"/>
        </w:rPr>
        <w:t>매뉴얼 목록 확인이며 실제 계산·대상 시설 검증은 미실행.</w:t>
      </w:r>
    </w:p>
    <w:p>
      <w:r>
        <w:br w:type="page"/>
      </w:r>
    </w:p>
    <w:p>
      <w:pPr>
        <w:pStyle w:val="Subtitle"/>
      </w:pPr>
      <w:r>
        <w:t>08  /  SOURCE REGISTER</w:t>
      </w:r>
    </w:p>
    <w:p>
      <w:pPr>
        <w:pStyle w:val="Heading1"/>
      </w:pPr>
      <w:r>
        <w:t>기술·연구 원문</w:t>
      </w:r>
    </w:p>
    <w:p>
      <w:r>
        <w:t>각 제목은 클릭 가능한 원문 링크다. 전체 한계·확인일·실험 상태는 SOURCES.md와 sources.json에 있다. 공개 사실, 공급자 설명, 연구 결과를 구분한다.</w:t>
      </w:r>
    </w:p>
    <w:p>
      <w:pPr>
        <w:spacing w:after="40"/>
      </w:pPr>
      <w:r>
        <w:rPr>
          <w:b/>
          <w:sz w:val="19"/>
        </w:rPr>
        <w:t xml:space="preserve">[S13] JuPedSim · </w:t>
      </w:r>
      <w:hyperlink r:id="rId23">
        <w:r>
          <w:rPr>
            <w:color w:val="126C73"/>
            <w:rFonts w:ascii="Noto Sans CJK KR" w:hAnsi="Noto Sans CJK KR" w:eastAsia="Noto Sans CJK KR"/>
          </w:rPr>
          <w:t>Pedestrian Models</w:t>
        </w:r>
      </w:hyperlink>
    </w:p>
    <w:p>
      <w:pPr>
        <w:spacing w:after="120" w:line="264" w:lineRule="auto"/>
      </w:pPr>
      <w:r>
        <w:rPr>
          <w:color w:val="526174"/>
          <w:sz w:val="17"/>
        </w:rPr>
        <w:t>최신 모델이 대상 역사에서 가장 정확하다는 증거가 아니며 현장 보정이 필요하다.</w:t>
      </w:r>
    </w:p>
    <w:p>
      <w:pPr>
        <w:spacing w:after="40"/>
      </w:pPr>
      <w:r>
        <w:rPr>
          <w:b/>
          <w:sz w:val="19"/>
        </w:rPr>
        <w:t xml:space="preserve">[S14] TAPAAL · </w:t>
      </w:r>
      <w:hyperlink r:id="rId24">
        <w:r>
          <w:rPr>
            <w:color w:val="126C73"/>
            <w:rFonts w:ascii="Noto Sans CJK KR" w:hAnsi="Noto Sans CJK KR" w:eastAsia="Noto Sans CJK KR"/>
          </w:rPr>
          <w:t>Features</w:t>
        </w:r>
      </w:hyperlink>
    </w:p>
    <w:p>
      <w:pPr>
        <w:spacing w:after="120" w:line="264" w:lineRule="auto"/>
      </w:pPr>
      <w:r>
        <w:rPr>
          <w:color w:val="526174"/>
          <w:sz w:val="17"/>
        </w:rPr>
        <w:t>형식모델의 성질 검사는 원문 매뉴얼 해석이나 물리모델 타당화와 다르다.</w:t>
      </w:r>
    </w:p>
    <w:p>
      <w:pPr>
        <w:spacing w:after="40"/>
      </w:pPr>
      <w:r>
        <w:rPr>
          <w:b/>
          <w:sz w:val="19"/>
        </w:rPr>
        <w:t xml:space="preserve">[S15] Eclipse SUMO / DLR · </w:t>
      </w:r>
      <w:hyperlink r:id="rId25">
        <w:r>
          <w:rPr>
            <w:color w:val="126C73"/>
            <w:rFonts w:ascii="Noto Sans CJK KR" w:hAnsi="Noto Sans CJK KR" w:eastAsia="Noto Sans CJK KR"/>
          </w:rPr>
          <w:t>Emergency</w:t>
        </w:r>
      </w:hyperlink>
    </w:p>
    <w:p>
      <w:pPr>
        <w:spacing w:after="120" w:line="264" w:lineRule="auto"/>
      </w:pPr>
      <w:r>
        <w:rPr>
          <w:color w:val="526174"/>
          <w:sz w:val="17"/>
        </w:rPr>
        <w:t>이 기능을 이유로 도구 전체를 배제하지는 않는다. 목적별 설정·제외·검사를 해야 한다.</w:t>
      </w:r>
    </w:p>
    <w:p>
      <w:pPr>
        <w:spacing w:after="40"/>
      </w:pPr>
      <w:r>
        <w:rPr>
          <w:b/>
          <w:sz w:val="19"/>
        </w:rPr>
        <w:t xml:space="preserve">[S16] NVIDIA · </w:t>
      </w:r>
      <w:hyperlink r:id="rId26">
        <w:r>
          <w:rPr>
            <w:color w:val="126C73"/>
            <w:rFonts w:ascii="Noto Sans CJK KR" w:hAnsi="Noto Sans CJK KR" w:eastAsia="Noto Sans CJK KR"/>
          </w:rPr>
          <w:t>PhysicsNeMo Framework</w:t>
        </w:r>
      </w:hyperlink>
    </w:p>
    <w:p>
      <w:pPr>
        <w:spacing w:after="120" w:line="264" w:lineRule="auto"/>
      </w:pPr>
      <w:r>
        <w:rPr>
          <w:color w:val="526174"/>
          <w:sz w:val="17"/>
        </w:rPr>
        <w:t>검증된 부산역 모델이나 실시간 정확도를 제공하는 완성품이 아니다.</w:t>
      </w:r>
    </w:p>
    <w:p>
      <w:pPr>
        <w:spacing w:after="40"/>
      </w:pPr>
      <w:r>
        <w:rPr>
          <w:b/>
          <w:sz w:val="19"/>
        </w:rPr>
        <w:t xml:space="preserve">[S17] Meta 연구팀 · </w:t>
      </w:r>
      <w:hyperlink r:id="rId27">
        <w:r>
          <w:rPr>
            <w:color w:val="126C73"/>
            <w:rFonts w:ascii="Noto Sans CJK KR" w:hAnsi="Noto Sans CJK KR" w:eastAsia="Noto Sans CJK KR"/>
          </w:rPr>
          <w:t>MapAnything</w:t>
        </w:r>
      </w:hyperlink>
    </w:p>
    <w:p>
      <w:pPr>
        <w:spacing w:after="120" w:line="264" w:lineRule="auto"/>
      </w:pPr>
      <w:r>
        <w:rPr>
          <w:color w:val="526174"/>
          <w:sz w:val="17"/>
        </w:rPr>
        <w:t>대상 관측 코퍼스·독립 기준점·실행 결과는 현재 연구에서 미확보/미실행.</w:t>
      </w:r>
    </w:p>
    <w:p>
      <w:pPr>
        <w:spacing w:after="40"/>
      </w:pPr>
      <w:r>
        <w:rPr>
          <w:b/>
          <w:sz w:val="19"/>
        </w:rPr>
        <w:t xml:space="preserve">[S18] 한국철도공사 · </w:t>
      </w:r>
      <w:hyperlink r:id="rId28">
        <w:r>
          <w:rPr>
            <w:color w:val="126C73"/>
            <w:rFonts w:ascii="Noto Sans CJK KR" w:hAnsi="Noto Sans CJK KR" w:eastAsia="Noto Sans CJK KR"/>
          </w:rPr>
          <w:t>재난관리체계</w:t>
        </w:r>
      </w:hyperlink>
    </w:p>
    <w:p>
      <w:pPr>
        <w:spacing w:after="120" w:line="264" w:lineRule="auto"/>
      </w:pPr>
      <w:r>
        <w:rPr>
          <w:color w:val="526174"/>
          <w:sz w:val="17"/>
        </w:rPr>
        <w:t>시나리오 작성 담당자의 실제 직무기술서나 모든 내부 매뉴얼이 아니다.</w:t>
      </w:r>
    </w:p>
    <w:p>
      <w:pPr>
        <w:spacing w:after="40"/>
      </w:pPr>
      <w:r>
        <w:rPr>
          <w:b/>
          <w:sz w:val="19"/>
        </w:rPr>
        <w:t xml:space="preserve">[S19] SR · </w:t>
      </w:r>
      <w:hyperlink r:id="rId29">
        <w:r>
          <w:rPr>
            <w:color w:val="126C73"/>
            <w:rFonts w:ascii="Noto Sans CJK KR" w:hAnsi="Noto Sans CJK KR" w:eastAsia="Noto Sans CJK KR"/>
          </w:rPr>
          <w:t>메타버스 활용 비상대응 훈련</w:t>
        </w:r>
      </w:hyperlink>
    </w:p>
    <w:p>
      <w:pPr>
        <w:spacing w:after="120" w:line="264" w:lineRule="auto"/>
      </w:pPr>
      <w:r>
        <w:rPr>
          <w:color w:val="526174"/>
          <w:sz w:val="17"/>
        </w:rPr>
        <w:t>실행 가능성 참고이며 작성 효율이나 현장 대응 개선의 인과적 증거가 아니다.</w:t>
      </w:r>
    </w:p>
    <w:p>
      <w:pPr>
        <w:spacing w:after="40"/>
      </w:pPr>
      <w:r>
        <w:rPr>
          <w:b/>
          <w:sz w:val="19"/>
        </w:rPr>
        <w:t xml:space="preserve">[S20] RGS_Dev · </w:t>
      </w:r>
      <w:hyperlink r:id="rId30">
        <w:r>
          <w:rPr>
            <w:color w:val="126C73"/>
            <w:rFonts w:ascii="Noto Sans CJK KR" w:hAnsi="Noto Sans CJK KR" w:eastAsia="Noto Sans CJK KR"/>
          </w:rPr>
          <w:t>Free Low Poly Vehicles Pack</w:t>
        </w:r>
      </w:hyperlink>
    </w:p>
    <w:p>
      <w:pPr>
        <w:spacing w:after="120" w:line="264" w:lineRule="auto"/>
      </w:pPr>
      <w:r>
        <w:rPr>
          <w:color w:val="526174"/>
          <w:sz w:val="17"/>
        </w:rPr>
        <w:t>이번 평가에서 파일 취득·Unity 입고·한국 차량 물성 검증을 수행하지 않았다.</w:t>
      </w:r>
    </w:p>
    <w:p>
      <w:pPr>
        <w:spacing w:after="40"/>
      </w:pPr>
      <w:r>
        <w:rPr>
          <w:b/>
          <w:sz w:val="19"/>
        </w:rPr>
        <w:t xml:space="preserve">[S21] Safety Science 연구 논문 · </w:t>
      </w:r>
      <w:hyperlink r:id="rId31">
        <w:r>
          <w:rPr>
            <w:color w:val="126C73"/>
            <w:rFonts w:ascii="Noto Sans CJK KR" w:hAnsi="Noto Sans CJK KR" w:eastAsia="Noto Sans CJK KR"/>
          </w:rPr>
          <w:t>Evacuation modelling for rapid multi-hazard tabletop exercise deployment</w:t>
        </w:r>
      </w:hyperlink>
    </w:p>
    <w:p>
      <w:pPr>
        <w:spacing w:after="120" w:line="264" w:lineRule="auto"/>
      </w:pPr>
      <w:r>
        <w:rPr>
          <w:color w:val="526174"/>
          <w:sz w:val="17"/>
        </w:rPr>
        <w:t>검색으로 제공된 출판사 본문 선택 범위 확인. 직접 재접속 403. 한국 철도·RTS 작성 생산성 검증으로 일반화하지 않는다.</w:t>
      </w:r>
    </w:p>
    <w:p>
      <w:pPr>
        <w:spacing w:after="40"/>
      </w:pPr>
      <w:r>
        <w:rPr>
          <w:b/>
          <w:sz w:val="19"/>
        </w:rPr>
        <w:t xml:space="preserve">[S22] Cambridge / Prehospital and Disaster Medicine · </w:t>
      </w:r>
      <w:hyperlink r:id="rId32">
        <w:r>
          <w:rPr>
            <w:color w:val="126C73"/>
            <w:rFonts w:ascii="Noto Sans CJK KR" w:hAnsi="Noto Sans CJK KR" w:eastAsia="Noto Sans CJK KR"/>
          </w:rPr>
          <w:t>Development of an Online Toolkit for Measuring Performance in Health Emergency Response Exercises</w:t>
        </w:r>
      </w:hyperlink>
    </w:p>
    <w:p>
      <w:pPr>
        <w:spacing w:after="120" w:line="264" w:lineRule="auto"/>
      </w:pPr>
      <w:r>
        <w:rPr>
          <w:color w:val="526174"/>
          <w:sz w:val="17"/>
        </w:rPr>
        <w:t>의료 분야의 오래된 도구 연구이며 CHOOGuard 시간 절감·3D 필요성을 증명하지 않는다. 비율을 타겟 시장에 전이하지 않았다.</w:t>
      </w:r>
    </w:p>
    <w:p>
      <w:pPr>
        <w:spacing w:after="40"/>
      </w:pPr>
      <w:r>
        <w:rPr>
          <w:b/>
          <w:sz w:val="19"/>
        </w:rPr>
        <w:t xml:space="preserve">[S23] New Jersey Institute of Technology · </w:t>
      </w:r>
      <w:hyperlink r:id="rId33">
        <w:r>
          <w:rPr>
            <w:color w:val="126C73"/>
            <w:rFonts w:ascii="Noto Sans CJK KR" w:hAnsi="Noto Sans CJK KR" w:eastAsia="Noto Sans CJK KR"/>
          </w:rPr>
          <w:t>A field trial of a collaborative online scenario creation system for emergency management</w:t>
        </w:r>
      </w:hyperlink>
    </w:p>
    <w:p>
      <w:pPr>
        <w:spacing w:after="120" w:line="264" w:lineRule="auto"/>
      </w:pPr>
      <w:r>
        <w:rPr>
          <w:color w:val="526174"/>
          <w:sz w:val="17"/>
        </w:rPr>
        <w:t>오래된 연구 초록만 확인. 전체 논문은 저장소에 제공되지 않는다. 현대 한국 철도 업무 효율로 일반화하지 않는다.</w:t>
      </w:r>
    </w:p>
    <w:sectPr w:rsidR="00FC693F" w:rsidRPr="0006063C" w:rsidSect="00034616">
      <w:headerReference w:type="default" r:id="rId9"/>
      <w:footerReference w:type="default" r:id="rId10"/>
      <w:pgSz w:w="11906" w:h="16838"/>
      <w:pgMar w:top="1020" w:right="1020" w:bottom="935"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2026.09.19  ·  데스크리서치 / 현장실증 전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174"/>
        <w:sz w:val="16"/>
      </w:rPr>
      <w:t>CHOOGuard  /  Product Discovery &amp; Feasibility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Noto Sans CJK KR" w:hAnsi="Noto Sans CJK KR" w:eastAsia="Noto Sans CJK KR"/>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Noto Sans CJK KR" w:hAnsi="Noto Sans CJK KR" w:eastAsia="Noto Sans CJK KR"/>
      <w:b/>
      <w:bCs/>
      <w:color w:val="126C73"/>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Noto Sans CJK KR" w:hAnsi="Noto Sans CJK KR" w:eastAsia="Noto Sans CJK KR"/>
      <w:b/>
      <w:bCs/>
      <w:color w:val="172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80"/>
      <w:contextualSpacing/>
    </w:pPr>
    <w:rPr>
      <w:rFonts w:asciiTheme="majorHAnsi" w:eastAsiaTheme="majorEastAsia" w:hAnsiTheme="majorHAnsi" w:cstheme="majorBidi" w:ascii="Noto Sans CJK KR" w:hAnsi="Noto Sans CJK KR" w:eastAsia="Noto Sans CJK KR"/>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40"/>
    </w:pPr>
    <w:rPr>
      <w:rFonts w:asciiTheme="majorHAnsi" w:eastAsiaTheme="majorEastAsia" w:hAnsiTheme="majorHAnsi" w:cstheme="majorBidi" w:ascii="Noto Sans CJK KR" w:hAnsi="Noto Sans CJK KR" w:eastAsia="Noto Sans CJK KR"/>
      <w:i/>
      <w:iCs/>
      <w:color w:val="126C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s.go.kr/frt/sub/a06/b11/disasterTraining_4/screen.do" TargetMode="External"/><Relationship Id="rId12" Type="http://schemas.openxmlformats.org/officeDocument/2006/relationships/hyperlink" Target="https://www.mois.go.kr/frt/bbs/type010/commonSelectBoardArticle.do?bbsId=BBSMSTR_000000000008&amp;nttId=117612" TargetMode="External"/><Relationship Id="rId13" Type="http://schemas.openxmlformats.org/officeDocument/2006/relationships/hyperlink" Target="https://info.korail.com/info/selectBbsNttView.do?bbsNo=199&amp;key=911&amp;nttNo=26342" TargetMode="External"/><Relationship Id="rId14" Type="http://schemas.openxmlformats.org/officeDocument/2006/relationships/hyperlink" Target="https://www.srail.or.kr/cms/article/view.do?pageId=KR0502000000&amp;postNo=1361" TargetMode="External"/><Relationship Id="rId15" Type="http://schemas.openxmlformats.org/officeDocument/2006/relationships/hyperlink" Target="https://preptoolkit.fema.gov/web/hseep-resources/design-and-development" TargetMode="External"/><Relationship Id="rId16" Type="http://schemas.openxmlformats.org/officeDocument/2006/relationships/hyperlink" Target="https://www.newspim.com/news/view/20241209000534" TargetMode="External"/><Relationship Id="rId17" Type="http://schemas.openxmlformats.org/officeDocument/2006/relationships/hyperlink" Target="https://preptoolkit.fema.gov/web/exercise" TargetMode="External"/><Relationship Id="rId18" Type="http://schemas.openxmlformats.org/officeDocument/2006/relationships/hyperlink" Target="https://www.conducttr.com/ai-assistance" TargetMode="External"/><Relationship Id="rId19" Type="http://schemas.openxmlformats.org/officeDocument/2006/relationships/hyperlink" Target="https://www.xvrsim.com/en/platform/" TargetMode="External"/><Relationship Id="rId20" Type="http://schemas.openxmlformats.org/officeDocument/2006/relationships/hyperlink" Target="https://www.dcc.edu/workforce-development/maritime/virtual-reality-training.aspx" TargetMode="External"/><Relationship Id="rId21" Type="http://schemas.openxmlformats.org/officeDocument/2006/relationships/hyperlink" Target="https://www.nist.gov/publications/credibility-consideration-digital-twins-manufacturing" TargetMode="External"/><Relationship Id="rId22" Type="http://schemas.openxmlformats.org/officeDocument/2006/relationships/hyperlink" Target="https://pages.nist.gov/fds-smv/manuals.html" TargetMode="External"/><Relationship Id="rId23" Type="http://schemas.openxmlformats.org/officeDocument/2006/relationships/hyperlink" Target="https://www.jupedsim.org/stable/pedestrian_models/" TargetMode="External"/><Relationship Id="rId24" Type="http://schemas.openxmlformats.org/officeDocument/2006/relationships/hyperlink" Target="https://www.tapaal.net/features/" TargetMode="External"/><Relationship Id="rId25" Type="http://schemas.openxmlformats.org/officeDocument/2006/relationships/hyperlink" Target="https://sumo.dlr.de/docs/Simulation/Emergency.html" TargetMode="External"/><Relationship Id="rId26" Type="http://schemas.openxmlformats.org/officeDocument/2006/relationships/hyperlink" Target="https://docs.nvidia.com/physicsnemo/latest/index.html" TargetMode="External"/><Relationship Id="rId27" Type="http://schemas.openxmlformats.org/officeDocument/2006/relationships/hyperlink" Target="https://github.com/facebookresearch/map-anything" TargetMode="External"/><Relationship Id="rId28" Type="http://schemas.openxmlformats.org/officeDocument/2006/relationships/hyperlink" Target="https://info.korail.com/info/contents.do?key=969" TargetMode="External"/><Relationship Id="rId29" Type="http://schemas.openxmlformats.org/officeDocument/2006/relationships/hyperlink" Target="https://www.srail.or.kr/cms/article/view.do?pageId=KR0502000000&amp;postNo=1293" TargetMode="External"/><Relationship Id="rId30" Type="http://schemas.openxmlformats.org/officeDocument/2006/relationships/hyperlink" Target="https://rgsdev.itch.io/free-low-poly-vehicles-pack" TargetMode="External"/><Relationship Id="rId31" Type="http://schemas.openxmlformats.org/officeDocument/2006/relationships/hyperlink" Target="https://doi.org/10.1016/j.ssci.2024.106438" TargetMode="External"/><Relationship Id="rId32" Type="http://schemas.openxmlformats.org/officeDocument/2006/relationships/hyperlink" Target="https://www.cambridge.org/core/journals/prehospital-and-disaster-medicine/article/abs/development-of-an-online-toolkit-for-measuring-performance-in-health-emergency-response-exercises/7F301CD6AF24DEE91049CE4C62D2BB4E" TargetMode="External"/><Relationship Id="rId33" Type="http://schemas.openxmlformats.org/officeDocument/2006/relationships/hyperlink" Target="https://digitalcommons.njit.edu/fac_pubs/6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CHOOGuard 제품 개요와 타당성 검토</dc:title>
  <dc:subject>문제·타겟·시간·사용자·시장·기술 조사</dc:subject>
  <dc:creator>CHOOGuard Product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