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C7445" w14:textId="1A311416" w:rsidR="004B17F9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 xml:space="preserve">XAVIER ROBITAILLE</w:t>
      </w:r>
    </w:p>
    <w:p w14:paraId="1EA547DF" w14:textId="424EED89" w:rsidR="004B17F9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 xml:space="preserve">Senior ABOR / Investment Accounting Consultant  |  SimCorp Dimension  |  Clearwater Analytics  |  </w:t>
      </w:r>
      <w:r>
        <w:rPr>
          <w:color w:val="D6E4F0"/>
        </w:rPr>
        <w:br/>
      </w:r>
      <w:r>
        <w:rPr>
          <w:color w:val="D6E4F0"/>
        </w:rPr>
        <w:t xml:space="preserve">Stream Lead — Implementation, Configuration &amp; Client Advisory</w:t>
      </w:r>
    </w:p>
    <w:p w14:paraId="45C2F075" w14:textId="0C15FB1B" w:rsidR="004B17F9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 xml:space="preserve">+33 6 64 89 09 43  |  xrobitaille92150@gmail.com  |  linkedin.com/in/xrobitaille  |  Paris, hybrid - available now</w:t>
      </w:r>
    </w:p>
    <w:p w14:paraId="12706649" w14:textId="77777777" w:rsidR="00791555" w:rsidRPr="00791555" w:rsidRDefault="00000000" w:rsidP="00791555"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 xml:space="preserve">  </w:t>
      </w:r>
    </w:p>
    <w:p w14:paraId="4C53F755" w14:textId="77777777" w:rsidR="0013741E" w:rsidRPr="0013741E" w:rsidRDefault="0013741E" w:rsidP="0013741E">
      <w:pPr>
        <w:rPr>
          <w:sz w:val="2"/>
          <w:szCs w:val="6"/>
        </w:rPr>
      </w:pPr>
    </w:p>
    <w:p w14:paraId="628F860E" w14:textId="7BC193E7" w:rsidR="004B17F9" w:rsidRDefault="00000000" w:rsidP="00791555">
      <w:pPr>
        <w:shd w:val="clear" w:color="auto" w:fill="2E75B6"/>
        <w:spacing w:after="80"/>
      </w:pPr>
      <w:r>
        <w:rPr>
          <w:b/>
          <w:color w:val="FFFFFF"/>
          <w:sz w:val="22"/>
        </w:rPr>
        <w:t xml:space="preserve">EXECUTIVE SUMMARY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Senior ABOR consultant and stream lead specialized in </w:t>
      </w:r>
      <w:r>
        <w:rPr>
          <w:b/>
          <w:bCs/>
          <w:color w:val="262626"/>
        </w:rPr>
        <w:t xml:space="preserve">investment accounting</w:t>
      </w:r>
      <w:r>
        <w:rPr>
          <w:color w:val="262626"/>
        </w:rPr>
        <w:t xml:space="preserve"> transformation, </w:t>
      </w:r>
      <w:r>
        <w:rPr>
          <w:b/>
          <w:bCs/>
          <w:color w:val="262626"/>
        </w:rPr>
        <w:t xml:space="preserve">SimCorp Dimension</w:t>
      </w:r>
      <w:r>
        <w:rPr>
          <w:color w:val="262626"/>
        </w:rPr>
        <w:t xml:space="preserve"> implementation and configuration, and </w:t>
      </w:r>
      <w:r>
        <w:rPr>
          <w:b/>
          <w:bCs/>
          <w:color w:val="262626"/>
        </w:rPr>
        <w:t xml:space="preserve">front-to-back operating model</w:t>
      </w:r>
      <w:r>
        <w:rPr>
          <w:color w:val="262626"/>
        </w:rPr>
        <w:t xml:space="preserve"> design. 25+ years in insurance, reinsurance and asset management, with deep ABOR expertise and client-facing delivery leadership.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Platform expertise: </w:t>
      </w:r>
      <w:r>
        <w:rPr>
          <w:b/>
          <w:bCs/>
          <w:color w:val="262626"/>
        </w:rPr>
        <w:t xml:space="preserve">SimCorp Dimension</w:t>
      </w:r>
      <w:r>
        <w:rPr>
          <w:color w:val="262626"/>
        </w:rPr>
        <w:t xml:space="preserve"> (CNP €350bn AUM, SCOR IP €20bn AUM — incl. hands-on multi-GAAP configuration); </w:t>
      </w:r>
      <w:r>
        <w:rPr>
          <w:b/>
          <w:bCs/>
          <w:color w:val="262626"/>
        </w:rPr>
        <w:t xml:space="preserve">Clearwater Analytics</w:t>
      </w:r>
      <w:r>
        <w:rPr>
          <w:color w:val="262626"/>
        </w:rPr>
        <w:t xml:space="preserve"> (2024–2026, €11bn AUM); Bloomberg; SAP S/4HANA; SAS.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Typical engagements: </w:t>
      </w:r>
      <w:r>
        <w:rPr>
          <w:b/>
          <w:bCs/>
          <w:color w:val="262626"/>
        </w:rPr>
        <w:t xml:space="preserve">ABOR design</w:t>
      </w:r>
      <w:r>
        <w:rPr>
          <w:color w:val="262626"/>
        </w:rPr>
        <w:t xml:space="preserve"> and SimCorp Dimension implementation, </w:t>
      </w:r>
      <w:r>
        <w:rPr>
          <w:b/>
          <w:bCs/>
          <w:color w:val="262626"/>
        </w:rPr>
        <w:t xml:space="preserve">investment accounting</w:t>
      </w:r>
      <w:r>
        <w:rPr>
          <w:color w:val="262626"/>
        </w:rPr>
        <w:t xml:space="preserve"> transformation (IFRS 9 / French GAAP / S2), accounting rules and GL design, client workshops and requirement analysis, solution scoping and estimates, data migration, custodian coordination, STP, closing redesign.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b/>
          <w:bCs/>
          <w:color w:val="262626"/>
        </w:rPr>
        <w:t xml:space="preserve">Fully bilingual EN/FR</w:t>
      </w:r>
      <w:r>
        <w:rPr>
          <w:color w:val="262626"/>
        </w:rPr>
        <w:t xml:space="preserve">. Based in Paris; hybrid engagements in France and Europe.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INVESTMENT PLATFORM EXPERTISE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SimCorp Dimension</w:t>
      </w:r>
      <w:r>
        <w:rPr>
          <w:color w:val="262626"/>
        </w:rPr>
        <w:t xml:space="preserve">  —  Lead Business Owner (CNP Assurances, €350bn AUM) + Implementation PM (SCOR Investment Partners, €20bn AUM, 3.5 years) — multi-GAAP ABOR build, detailed below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Clearwater Analytics</w:t>
      </w:r>
      <w:r>
        <w:rPr>
          <w:color w:val="262626"/>
        </w:rPr>
        <w:t xml:space="preserve">  —  Senior Programme Manager — CW CORE, OMS/Jump, LPx — €11bn AUM, multi-custodian, STP, AI-driven controls, Solvency II reporting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Bloomberg</w:t>
      </w:r>
      <w:r>
        <w:rPr>
          <w:color w:val="262626"/>
        </w:rPr>
        <w:t xml:space="preserve">  —  TSOX, Data License — integration design and testing (SimCorp and Clearwater)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SAP S/4HANA</w:t>
      </w:r>
      <w:r>
        <w:rPr>
          <w:color w:val="262626"/>
        </w:rPr>
        <w:t xml:space="preserve">  —  Automated investment accounting interfaces and SAP→SAP BFC reporting chain design (Coface Group Finance)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SAS</w:t>
      </w:r>
      <w:r>
        <w:rPr>
          <w:color w:val="262626"/>
        </w:rPr>
        <w:t xml:space="preserve">  —  Shared investment data platform design; IFRS 9 ECL model implementation (Coface)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Other</w:t>
      </w:r>
      <w:r>
        <w:rPr>
          <w:color w:val="262626"/>
        </w:rPr>
        <w:t xml:space="preserve">  —  CODA (GL), CACEIS and Neoxam GP3/GP4 (custodian), Linedata Chorus (legacy, replaced twice)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SIMCORP DIMENSION — HANDS-ON ABOR BUILD (SCOR IP &amp; CNP)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Scoping &amp; accounting design</w:t>
      </w:r>
      <w:r>
        <w:rPr>
          <w:color w:val="262626"/>
        </w:rPr>
        <w:t xml:space="preserve">  —  mapped legal entities, portfolios, accounting books and reporting obligations; separated Group IFRS, French GAAP and local GAAP; identified in-scope instruments, transaction types and corporate actions; documented accounting policies for bonds, equities, funds, derivatives, loans and cash; defined purpose codes, accounting segments and the portfolio / portfolio-group structure for local and consolidated reporting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Multi-GAAP configuration (FAP / FAM)</w:t>
      </w:r>
      <w:r>
        <w:rPr>
          <w:color w:val="262626"/>
        </w:rPr>
        <w:t xml:space="preserve">  —  FAP assignment and rules by instrument type, accounting segment and holding key; holding splits (cost, accrued interest, premium/discount, unrealised P&amp;L); three parallel frameworks (IFRS, French GAAP, local GAAP) linked to FAMs: amortised cost, fair value and EIR, French GAAP amortisation, impairment and realised gains/losses, local valuation rules; transaction costs, accruals, FX, withholding tax, coupons, redemptions, calls and corporate actions; FAP/FAM validation before booking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Postings &amp; GL</w:t>
      </w:r>
      <w:r>
        <w:rPr>
          <w:color w:val="262626"/>
        </w:rPr>
        <w:t xml:space="preserve">  —  finance fields, Finance Schemes (debit/credit logic, priority rules and conditions) and Finance Account Assignments to GL accounts with analytical dimensions (entity, portfolio, currency, business line, standard), with separate mappings per GAAP; posting processes, accounting extracts and interfaces to Group and local GLs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Calculation, testing &amp; run</w:t>
      </w:r>
      <w:r>
        <w:rPr>
          <w:color w:val="262626"/>
        </w:rPr>
        <w:t xml:space="preserve">  —  Portfolio Calculation per framework; reconciliation of holdings, tax lots and accruals with source transactions and custodian records; full instrument life-cycle tests (trade capture to valuation, settlement, accounting, reversal); parallel runs against legacy and analysis of all material differences; documentation of configuration, test evidence, controls and procedures; month-end and year-end close support</w:t>
      </w:r>
    </w:p>
    <w:p w14:paraId="44172433" w14:textId="2D0CC68C" w:rsidR="004B17F9" w:rsidRPr="0013741E" w:rsidRDefault="00000000" w:rsidP="00791555">
      <w:pPr>
        <w:spacing w:before="60" w:after="60"/>
        <w:ind w:left="120" w:right="120"/>
        <w:rPr>
          <w:color w:val="FFFFFF" w:themeColor="background1"/>
          <w:sz w:val="4"/>
          <w:szCs w:val="4"/>
        </w:rPr>
      </w:pPr>
      <w:r>
        <w:rPr>
          <w:color w:val="FFFFFF" w:themeColor="background1"/>
          <w:sz w:val="4"/>
          <w:szCs w:val="4"/>
        </w:rPr>
        <w:t xml:space="preserve">ABOR / Accounting Book of Record  |  Investment Accounting  |  SimCorp Dimension  |  SCD Configuration (FAP/FAM, Security Types, CoA)  |  Stream Lead  |  General Ledger  |  Accounting Postings  |  Valuation  |  Reconciliation  |  Fund Accounting / NAV  |  Client Workshops  |  Requirements Analysis  |  Solution Design &amp; Scoping  |  Effort Estimation  |  RFI / RFP  |  Asset Management Transformation  |  OMS Implementation  |  Front-to-Back Platform  |  ABOR / IBOR  |  STP (Straight-Through Processing)  |  Clearwater Analytics  |  IFRS 9  |  Solvency II  |  Securities Master  |  Data Migration  |  Custodian Coordination  |  Bloomberg  |  Portfolio Analytics  |  Performance Attribution  |  Private Equity Accounting  |  Unit-Linked  |  Fixed Income  |  Look-through Reporting  |  Closing Optimisation  |  Target Operating Model  |  Record to Report (R2R)  |  Process Automation  |  Process Optimisation  |  AI-Driven Controls  |  Data Platform Design  |  Data Governance  |  UAT Management  |  PMO  |  SAP S/4HANA  |  SAS  |  Power BI</w:t>
      </w:r>
    </w:p>
    <w:p w14:paraId="00B18728" w14:textId="77777777" w:rsidR="0013741E" w:rsidRDefault="0013741E">
      <w:pPr>
        <w:rPr>
          <w:b/>
          <w:color w:val="FFFFFF"/>
          <w:sz w:val="22"/>
        </w:rPr>
      </w:pPr>
      <w:r>
        <w:rPr>
          <w:b/>
          <w:color w:val="FFFFFF"/>
          <w:sz w:val="22"/>
        </w:rPr>
        <w:br w:type="page"/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Clearwater Analytics</w:t>
      </w:r>
      <w:r>
        <w:rPr>
          <w:color w:val="595959"/>
        </w:rPr>
        <w:t xml:space="preserve">  ·  Nov 2024 – June 2026  (20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Senior Programme Manager — Cloud-Native Investment Platform &amp; Finance Automation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end-to-end delivery of a </w:t>
      </w:r>
      <w:r>
        <w:rPr>
          <w:b/>
          <w:color w:val="262626"/>
        </w:rPr>
        <w:t xml:space="preserve">Clearwater Analytics SaaS</w:t>
      </w:r>
      <w:r>
        <w:rPr>
          <w:color w:val="262626"/>
        </w:rPr>
        <w:t xml:space="preserve"> platform for a French reinsurer (</w:t>
      </w:r>
      <w:r>
        <w:rPr>
          <w:b/>
          <w:color w:val="262626"/>
        </w:rPr>
        <w:t xml:space="preserve">€11bn AUM</w:t>
      </w:r>
      <w:r>
        <w:rPr>
          <w:color w:val="262626"/>
        </w:rPr>
        <w:t xml:space="preserve">: fixed income, TCN, listed funds, closed-end funds), replacing a legacy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system (second Chorus replacement after SCOR IP, 2008–2012).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full </w:t>
      </w:r>
      <w:r>
        <w:rPr>
          <w:b/>
          <w:color w:val="262626"/>
        </w:rPr>
        <w:t xml:space="preserve">straight-through processing (STP)</w:t>
      </w:r>
      <w:r>
        <w:rPr>
          <w:color w:val="262626"/>
        </w:rPr>
        <w:t xml:space="preserve"> across the value chain: order management → accounting → Solvency II reporting, with no manual re-entry between FO, MO, BO and IT.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Automated custodian and bank reconciliation: frequency increased from </w:t>
      </w:r>
      <w:r>
        <w:rPr>
          <w:b/>
          <w:color w:val="262626"/>
        </w:rPr>
        <w:t xml:space="preserve">weekly to daily</w:t>
      </w:r>
      <w:r>
        <w:rPr>
          <w:color w:val="262626"/>
        </w:rPr>
        <w:t xml:space="preserve">; deployed </w:t>
      </w:r>
      <w:r>
        <w:rPr>
          <w:b/>
          <w:color w:val="262626"/>
        </w:rPr>
        <w:t xml:space="preserve">AI-assisted tripartite reconciliation</w:t>
      </w:r>
      <w:r>
        <w:rPr>
          <w:color w:val="262626"/>
        </w:rPr>
        <w:t xml:space="preserve"> (Front Office / Back Office / custodian) with automated discrepancy pre-diagnosis.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Implemented </w:t>
      </w:r>
      <w:r>
        <w:rPr>
          <w:b/>
          <w:color w:val="262626"/>
        </w:rPr>
        <w:t xml:space="preserve">AI-powered control framework</w:t>
      </w:r>
      <w:r>
        <w:rPr>
          <w:color w:val="262626"/>
        </w:rPr>
        <w:t xml:space="preserve">: price-variation monitoring, input reception controls, and AI-driven automated processing of closed-end fund instructions (capital calls, monthly NAV valuations).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Reduced closing cycle from </w:t>
      </w:r>
      <w:r>
        <w:rPr>
          <w:b/>
          <w:color w:val="262626"/>
        </w:rPr>
        <w:t xml:space="preserve">D+4 to D+2</w:t>
      </w:r>
      <w:r>
        <w:rPr>
          <w:color w:val="262626"/>
        </w:rPr>
        <w:t xml:space="preserve"> through end-to-end process automation and STP architecture.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Multi-module implementation (CW CORE, OMS/Jump, LPx); integrations to Bloomberg TSOX and Data License, CODA (GL), Solvency II reporting.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Program governance and client stakeholder management: bilingual EN/FR C-suite Sponsor Committees (monthly), RAID log (10+ critical risks); steered OMS go-live (Dec 2025) and CORE go-live (Apr 2026).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CNP Assurances</w:t>
      </w:r>
      <w:r>
        <w:rPr>
          <w:color w:val="595959"/>
        </w:rPr>
        <w:t xml:space="preserve">  ·  2013 – 2017  (4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Lead Business Owner — SimCorp Dimension  /  Head of Financial Production &amp; Solvency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Acted as Lead Business Owner for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implementation at one of France's largest life insurers — covering </w:t>
      </w:r>
      <w:r>
        <w:rPr>
          <w:b/>
          <w:color w:val="262626"/>
        </w:rPr>
        <w:t xml:space="preserve">~€350bn in investment assets</w:t>
      </w:r>
      <w:r>
        <w:rPr>
          <w:color w:val="262626"/>
        </w:rPr>
        <w:t xml:space="preserve">, one of Europe's largest SimCorp implementations, covering the full ABOR and Solvency II chain.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Drove the entire business workstream: requirement workshops, functional design, multi-GAAP accounting rules and postings, controls, Solvency II reporting, testing, data migration and go-live readiness.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Financial Production &amp; Solvency II Unit (May–Dec 2013): managed 5-person team; enhanced the </w:t>
      </w:r>
      <w:r>
        <w:rPr>
          <w:b/>
          <w:color w:val="262626"/>
        </w:rPr>
        <w:t xml:space="preserve">P&amp;L Forecast model</w:t>
      </w:r>
      <w:r>
        <w:rPr>
          <w:color w:val="262626"/>
        </w:rPr>
        <w:t xml:space="preserve"> (bond reinvestment, inflation-linked bonds, equities, private equity, real estate); roadmap from </w:t>
      </w:r>
      <w:r>
        <w:rPr>
          <w:b/>
          <w:color w:val="262626"/>
        </w:rPr>
        <w:t xml:space="preserve">Access</w:t>
      </w:r>
      <w:r>
        <w:rPr>
          <w:color w:val="262626"/>
        </w:rPr>
        <w:t xml:space="preserve"> to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 and </w:t>
      </w:r>
      <w:r>
        <w:rPr>
          <w:b/>
          <w:color w:val="262626"/>
        </w:rPr>
        <w:t xml:space="preserve">QlikView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ABOR SME for the Fast Close initiative: cut-off, unit-linked portfolios, accounting/management reconciliation.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Group Head of Investment Accounting  /  IFRS 9 Project Manager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Group Head of Investment Accounting  (Jan 2023 – Oct 2024)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investment accounting function for a </w:t>
      </w:r>
      <w:r>
        <w:rPr>
          <w:b/>
          <w:color w:val="262626"/>
        </w:rPr>
        <w:t xml:space="preserve">~€3bn group investment portfolio</w:t>
      </w:r>
      <w:r>
        <w:rPr>
          <w:color w:val="262626"/>
        </w:rPr>
        <w:t xml:space="preserve"> outsourced to CACEIS (Neoxam GP3/GP4 platform), overseeing </w:t>
      </w:r>
      <w:r>
        <w:rPr>
          <w:b/>
          <w:color w:val="262626"/>
        </w:rPr>
        <w:t xml:space="preserve">~20 international entities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Industrialised the </w:t>
      </w:r>
      <w:r>
        <w:rPr>
          <w:b/>
          <w:color w:val="262626"/>
        </w:rPr>
        <w:t xml:space="preserve">Record-to-Report process</w:t>
      </w:r>
      <w:r>
        <w:rPr>
          <w:color w:val="262626"/>
        </w:rPr>
        <w:t xml:space="preserve">: </w:t>
      </w:r>
      <w:r>
        <w:rPr>
          <w:b/>
          <w:color w:val="262626"/>
        </w:rPr>
        <w:t xml:space="preserve">Power Query</w:t>
      </w:r>
      <w:r>
        <w:rPr>
          <w:color w:val="262626"/>
        </w:rPr>
        <w:t xml:space="preserve"> workflows for monthly CACEIS data (accounting/management and SAP/CACEIS reconciliation, FX, price-variation controls); </w:t>
      </w:r>
      <w:r>
        <w:rPr>
          <w:b/>
          <w:color w:val="262626"/>
        </w:rPr>
        <w:t xml:space="preserve">VBA macros</w:t>
      </w:r>
      <w:r>
        <w:rPr>
          <w:color w:val="262626"/>
        </w:rPr>
        <w:t xml:space="preserve"> for GP3→SAP conversion; </w:t>
      </w:r>
      <w:r>
        <w:rPr>
          <w:b/>
          <w:color w:val="262626"/>
        </w:rPr>
        <w:t xml:space="preserve">SAP FC Publisher</w:t>
      </w:r>
      <w:r>
        <w:rPr>
          <w:color w:val="262626"/>
        </w:rPr>
        <w:t xml:space="preserve"> automation for BFC consolidation.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Automated SAP S/4HANA investment interfaces and the SAP→SAP BFC chain, cutting closing from </w:t>
      </w:r>
      <w:r>
        <w:rPr>
          <w:b/>
          <w:color w:val="262626"/>
        </w:rPr>
        <w:t xml:space="preserve">D+5 to D+3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a consolidated </w:t>
      </w:r>
      <w:r>
        <w:rPr>
          <w:b/>
          <w:color w:val="262626"/>
        </w:rPr>
        <w:t xml:space="preserve">Power BI</w:t>
      </w:r>
      <w:r>
        <w:rPr>
          <w:color w:val="262626"/>
        </w:rPr>
        <w:t xml:space="preserve"> investment dashboard for CXO-level reporting.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IFRS 9 Project Manager  (Jan 2020 – Dec 2022)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Finance workstreams of the IFRS 9 project, </w:t>
      </w:r>
      <w:r>
        <w:rPr>
          <w:b/>
          <w:color w:val="262626"/>
        </w:rPr>
        <w:t xml:space="preserve">rolled out in stages over four years</w:t>
      </w:r>
      <w:r>
        <w:rPr>
          <w:color w:val="262626"/>
        </w:rPr>
        <w:t xml:space="preserve">: successive POCs, ECL methodology, accounting schemes, UAT, coordination with the custodian CACEIS.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the </w:t>
      </w:r>
      <w:r>
        <w:rPr>
          <w:b/>
          <w:color w:val="262626"/>
        </w:rPr>
        <w:t xml:space="preserve">ECL (Expected Credit Loss) model</w:t>
      </w:r>
      <w:r>
        <w:rPr>
          <w:color w:val="262626"/>
        </w:rPr>
        <w:t xml:space="preserve"> end-to-end (external risk matrices), implemented in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, Finance as sole model owner; monthly variance analysis; UAT and proof-of-concept.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Validated IFRS 9 transition accounting schemes; redesigned the close calendar; automated controls.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First assignment  (May 2017 – May 2018)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Technical Accounting: investment accounting production, regulatory reporting, operating model.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 shared </w:t>
      </w:r>
      <w:r>
        <w:rPr>
          <w:b/>
          <w:color w:val="262626"/>
        </w:rPr>
        <w:t xml:space="preserve">investment data platform in SAS</w:t>
      </w:r>
      <w:r>
        <w:rPr>
          <w:color w:val="262626"/>
        </w:rPr>
        <w:t xml:space="preserve"> (sourcing, data model, quality controls, governance, management reporting), backbone of the 2020 IFRS 9 ECL model.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Primexis</w:t>
      </w:r>
      <w:r>
        <w:rPr>
          <w:color w:val="595959"/>
        </w:rPr>
        <w:t xml:space="preserve">  ·  Oct 2008 – Apr 2013  (4.5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Associate Director — Insurance Practice  /  SimCorp PM at SCOR Investment Partners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Concurrent SimCorp Dimension Project Manager at SCOR Investment Partners (Nov 2008 – May 2012, 3.5 years): led migration from </w:t>
      </w:r>
      <w:r>
        <w:rPr>
          <w:b/>
          <w:color w:val="262626"/>
        </w:rPr>
        <w:t xml:space="preserve">Linedata Chorus</w:t>
      </w:r>
      <w:r>
        <w:rPr>
          <w:color w:val="262626"/>
        </w:rPr>
        <w:t xml:space="preserve"> (MO/BO/accounting) to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across Head Office and foreign entities — </w:t>
      </w:r>
      <w:r>
        <w:rPr>
          <w:b/>
          <w:color w:val="262626"/>
        </w:rPr>
        <w:t xml:space="preserve">€20bn AUM</w:t>
      </w:r>
      <w:r>
        <w:rPr>
          <w:color w:val="262626"/>
        </w:rPr>
        <w:t xml:space="preserve">, 12-person team; Bloomberg FO fully integrated.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 xml:space="preserve">look-through automation</w:t>
      </w:r>
      <w:r>
        <w:rPr>
          <w:color w:val="262626"/>
        </w:rPr>
        <w:t xml:space="preserve">: underlying asset consolidation, sensitivities and Solvency II transparisation, replacing manual restatements.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Managed US portfolio migration including structured products; defined AMF-compliant investment reporting and branch restructuring for foreign subsidiaries.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As Associate Director at Primexis: built a </w:t>
      </w:r>
      <w:r>
        <w:rPr>
          <w:b/>
          <w:color w:val="262626"/>
        </w:rPr>
        <w:t xml:space="preserve">20-consultant Insurance practice</w:t>
      </w:r>
      <w:r>
        <w:rPr>
          <w:color w:val="262626"/>
        </w:rPr>
        <w:t xml:space="preserve"> generating </w:t>
      </w:r>
      <w:r>
        <w:rPr>
          <w:b/>
          <w:color w:val="262626"/>
        </w:rPr>
        <w:t xml:space="preserve">€3m annual revenue</w:t>
      </w:r>
      <w:r>
        <w:rPr>
          <w:color w:val="262626"/>
        </w:rPr>
        <w:t xml:space="preserve"> across 10 clients; Executive Committee member; led all insurance RFI/RFP responses (scoping, estimates, pricing).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SCOR  —  Investment Department</w:t>
      </w:r>
      <w:r>
        <w:rPr>
          <w:color w:val="595959"/>
        </w:rPr>
        <w:t xml:space="preserve">  ·  Oct 2005 – Sep 2008  (3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Head of Transformation Projects  /  Head of Group Consolidation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As chief transformation officer of the investment function, turned SCOR's investment department into a standalone AM structure, replacing </w:t>
      </w:r>
      <w:r>
        <w:rPr>
          <w:b/>
          <w:color w:val="262626"/>
        </w:rPr>
        <w:t xml:space="preserve">Bloomberg (FO) + Linedata Chorus (MO/BO/accounting)</w:t>
      </w:r>
      <w:r>
        <w:rPr>
          <w:color w:val="262626"/>
        </w:rPr>
        <w:t xml:space="preserve"> with an integrated front-to-accounting platform.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solution scoping and RFI/RFP for the investment platform and performance attribution tool; managed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selection and implementation governance. Project budget: </w:t>
      </w:r>
      <w:r>
        <w:rPr>
          <w:b/>
          <w:color w:val="262626"/>
        </w:rPr>
        <w:t xml:space="preserve">€3m/year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Group Consolidation &amp; Accounting Standards (Oct 2005 – Jul 2006): quarterly IFRS and annual US GAAP consolidated reporting; Group accounting policy definition; team of 5.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Group Finance</w:t>
      </w:r>
      <w:r>
        <w:rPr>
          <w:color w:val="595959"/>
        </w:rPr>
        <w:t xml:space="preserve">  ·  May 2004 – Oct 2005  (18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Head of Technical Accounting and Reserving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 xml:space="preserve">Bornhuetter-Ferguson stochastic reserving methodology</w:t>
      </w:r>
      <w:r>
        <w:rPr>
          <w:color w:val="262626"/>
        </w:rPr>
        <w:t xml:space="preserve"> — replacing manual estimation; accelerated close process.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Investment accounting, technical insurance accounting; intercompany reconciliations; Group Finance coordination; team of 16.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Mazars</w:t>
      </w:r>
      <w:r>
        <w:rPr>
          <w:color w:val="595959"/>
        </w:rPr>
        <w:t xml:space="preserve">  ·  Sep 1999 – May 2004  (5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Audit Manager — Insurance &amp; Reinsurance Practice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Statutory audit, internal control, due diligence and transaction support for insurers and reinsurers; investment function reviews.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ESCP Business School</w:t>
      </w:r>
      <w:r>
        <w:rPr>
          <w:color w:val="262626"/>
        </w:rPr>
        <w:t xml:space="preserve">  —  Grande École — Master in Management  |  Major: Finance</w:t>
      </w:r>
      <w:r>
        <w:rPr>
          <w:color w:val="595959"/>
          <w:sz w:val="18"/>
        </w:rPr>
        <w:t xml:space="preserve">  |  1991–1995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Centre d'Études Actuarielles, Paris</w:t>
      </w:r>
      <w:r>
        <w:rPr>
          <w:color w:val="262626"/>
        </w:rPr>
        <w:t xml:space="preserve">  —  Actuarial Science programme, all examinations passed</w:t>
      </w:r>
      <w:r>
        <w:rPr>
          <w:color w:val="595959"/>
          <w:sz w:val="18"/>
        </w:rPr>
        <w:t xml:space="preserve">  |  2002–2004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Project Management Institute</w:t>
      </w:r>
      <w:r>
        <w:rPr>
          <w:color w:val="262626"/>
        </w:rPr>
        <w:t xml:space="preserve">  —  PMP® — Project Management Professional (active)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Certifications</w:t>
      </w:r>
      <w:r>
        <w:rPr>
          <w:color w:val="262626"/>
        </w:rPr>
        <w:t xml:space="preserve">  —  Generative AI Primer  |  GenAI for Account Executives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53A268A1" w14:textId="14EA7854" w:rsidR="004B17F9" w:rsidRDefault="00000000">
      <w:pPr>
        <w:spacing w:before="80" w:after="80"/>
        <w:ind w:left="180"/>
      </w:pPr>
      <w:r>
        <w:rPr>
          <w:color w:val="262626"/>
        </w:rPr>
        <w:t xml:space="preserve">French: Native  |  English: Full professional proficiency (C1/C2)</w:t>
      </w:r>
    </w:p>
    <w:p w14:paraId="1894C494" w14:textId="77777777" w:rsidR="004B17F9" w:rsidRDefault="00000000">
      <w:pPr>
        <w:spacing w:after="80"/>
        <w:ind w:left="180"/>
      </w:pPr>
      <w:r>
        <w:rPr>
          <w:color w:val="262626"/>
        </w:rPr>
        <w:t xml:space="preserve">Available: immediately  |  Format: hybrid, Paris / Île-de-France  |  Geography: France; UK &amp; Ireland, Benelux, Switzerland</w:t>
      </w:r>
    </w:p>
    <w:sectPr w:rsidR="004B17F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075"/>
    <w:multiLevelType w:val="hybridMultilevel"/>
    <w:tmpl w:val="2EB66DB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9947A5E"/>
    <w:multiLevelType w:val="hybridMultilevel"/>
    <w:tmpl w:val="705CEEE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19575198">
    <w:abstractNumId w:val="8"/>
  </w:num>
  <w:num w:numId="2" w16cid:durableId="829560583">
    <w:abstractNumId w:val="6"/>
  </w:num>
  <w:num w:numId="3" w16cid:durableId="1552499846">
    <w:abstractNumId w:val="5"/>
  </w:num>
  <w:num w:numId="4" w16cid:durableId="1850682786">
    <w:abstractNumId w:val="4"/>
  </w:num>
  <w:num w:numId="5" w16cid:durableId="897589947">
    <w:abstractNumId w:val="7"/>
  </w:num>
  <w:num w:numId="6" w16cid:durableId="1005205406">
    <w:abstractNumId w:val="3"/>
  </w:num>
  <w:num w:numId="7" w16cid:durableId="1757703315">
    <w:abstractNumId w:val="2"/>
  </w:num>
  <w:num w:numId="8" w16cid:durableId="1139685493">
    <w:abstractNumId w:val="1"/>
  </w:num>
  <w:num w:numId="9" w16cid:durableId="233243014">
    <w:abstractNumId w:val="0"/>
  </w:num>
  <w:num w:numId="10" w16cid:durableId="321861825">
    <w:abstractNumId w:val="9"/>
  </w:num>
  <w:num w:numId="11" w16cid:durableId="26955588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1E"/>
    <w:rsid w:val="0015074B"/>
    <w:rsid w:val="00182ED7"/>
    <w:rsid w:val="0029639D"/>
    <w:rsid w:val="002D3B92"/>
    <w:rsid w:val="00326F90"/>
    <w:rsid w:val="0044507F"/>
    <w:rsid w:val="004B17F9"/>
    <w:rsid w:val="00791555"/>
    <w:rsid w:val="00AA1D8D"/>
    <w:rsid w:val="00B47730"/>
    <w:rsid w:val="00CB0664"/>
    <w:rsid w:val="00CF0009"/>
    <w:rsid w:val="00E9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FFE5A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1595</Words>
  <Characters>10358</Characters>
  <Application>Microsoft Office Word</Application>
  <DocSecurity>0</DocSecurity>
  <Lines>152</Lines>
  <Paragraphs>92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Xavier Robitaille</dc:title>
  <dc:subject/>
  <dc:creator>Xavier Robitaille</dc:creator>
  <cp:keywords/>
  <dc:description>generated by python-docx</dc:description>
  <cp:lastModifiedBy>Xavier Robitaille</cp:lastModifiedBy>
  <cp:revision>2</cp:revision>
  <dcterms:created xsi:type="dcterms:W3CDTF">2026-09-27T22:16:00Z</dcterms:created>
  <dcterms:modified xsi:type="dcterms:W3CDTF">2026-09-27T22:16:00Z</dcterms:modified>
  <cp:category/>
</cp:coreProperties>
</file>