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1C7445" w14:textId="1A311416" w:rsidR="004B17F9" w:rsidRDefault="00000000">
      <w:pPr>
        <w:shd w:val="clear" w:color="auto" w:fill="1F3864"/>
        <w:spacing w:after="0" w:line="240" w:lineRule="auto"/>
        <w:jc w:val="center"/>
      </w:pPr>
      <w:r>
        <w:rPr>
          <w:b/>
          <w:color w:val="FFFFFF"/>
          <w:sz w:val="32"/>
        </w:rPr>
        <w:t xml:space="preserve">XAVIER ROBITAILLE</w:t>
      </w:r>
    </w:p>
    <w:p w14:paraId="1EA547DF" w14:textId="424EED89" w:rsidR="004B17F9" w:rsidRDefault="00000000">
      <w:pPr>
        <w:shd w:val="clear" w:color="auto" w:fill="1F3864"/>
        <w:spacing w:after="0" w:line="240" w:lineRule="auto"/>
        <w:jc w:val="center"/>
      </w:pPr>
      <w:r>
        <w:rPr>
          <w:color w:val="D6E4F0"/>
        </w:rPr>
        <w:t xml:space="preserve">Spécialiste IFRS 17 / IFRS 9 / Solvabilité II  |  Transformation de la Finance en assurance</w:t>
      </w:r>
      <w:r>
        <w:rPr>
          <w:color w:val="D6E4F0"/>
        </w:rPr>
        <w:br/>
      </w:r>
      <w:r>
        <w:rPr>
          <w:color w:val="D6E4F0"/>
        </w:rPr>
        <w:t xml:space="preserve">Consultant senior et directeur de programme — interface Finance / Actuariat / IT</w:t>
      </w:r>
    </w:p>
    <w:p w14:paraId="45C2F075" w14:textId="0C15FB1B" w:rsidR="004B17F9" w:rsidRDefault="00000000">
      <w:pPr>
        <w:shd w:val="clear" w:color="auto" w:fill="2E75B6"/>
        <w:spacing w:before="60" w:after="60" w:line="240" w:lineRule="auto"/>
        <w:jc w:val="center"/>
      </w:pPr>
      <w:r>
        <w:rPr>
          <w:color w:val="FFFFFF"/>
          <w:sz w:val="18"/>
        </w:rPr>
        <w:t xml:space="preserve">+33 6 64 89 09 43  |  xrobitaille92150@gmail.com  |  linkedin.com/in/xrobitaille  |  Paris, hybride - disponible immédiatement</w:t>
      </w:r>
    </w:p>
    <w:p w14:paraId="12706649" w14:textId="77777777" w:rsidR="00791555" w:rsidRPr="00791555" w:rsidRDefault="00000000" w:rsidP="00791555">
      <w:pPr>
        <w:spacing w:after="0" w:line="240" w:lineRule="auto"/>
        <w:rPr>
          <w:sz w:val="2"/>
          <w:szCs w:val="2"/>
        </w:rPr>
      </w:pPr>
      <w:r>
        <w:rPr>
          <w:sz w:val="2"/>
          <w:szCs w:val="2"/>
        </w:rPr>
        <w:t xml:space="preserve">  </w:t>
      </w:r>
    </w:p>
    <w:p w14:paraId="4C53F755" w14:textId="77777777" w:rsidR="0013741E" w:rsidRPr="0013741E" w:rsidRDefault="0013741E" w:rsidP="0013741E">
      <w:pPr>
        <w:rPr>
          <w:sz w:val="2"/>
          <w:szCs w:val="6"/>
        </w:rPr>
      </w:pPr>
    </w:p>
    <w:p w14:paraId="628F860E" w14:textId="7BC193E7" w:rsidR="004B17F9" w:rsidRDefault="00000000" w:rsidP="00791555">
      <w:pPr>
        <w:shd w:val="clear" w:color="auto" w:fill="2E75B6"/>
        <w:spacing w:after="80"/>
      </w:pPr>
      <w:r>
        <w:rPr>
          <w:b/>
          <w:color w:val="FFFFFF"/>
          <w:sz w:val="22"/>
        </w:rPr>
        <w:t xml:space="preserve">SYNTHÈSE</w:t>
      </w:r>
    </w:p>
    <w:p w14:paraId="1EBACD71" w14:textId="60F7E814" w:rsidR="00791555" w:rsidRPr="00791555" w:rsidRDefault="00000000" w:rsidP="00E97BD2">
      <w:pPr>
        <w:pStyle w:val="Paragraphedeliste"/>
        <w:numPr>
          <w:ilvl w:val="0"/>
          <w:numId w:val="10"/>
        </w:numPr>
        <w:spacing w:before="80" w:after="80"/>
        <w:ind w:left="142" w:right="120" w:hanging="142"/>
        <w:jc w:val="both"/>
      </w:pPr>
      <w:r>
        <w:rPr>
          <w:color w:val="262626"/>
        </w:rPr>
        <w:t xml:space="preserve">Consultant Finance senior spécialisé en </w:t>
      </w:r>
      <w:r>
        <w:rPr>
          <w:b/>
          <w:bCs/>
          <w:color w:val="262626"/>
        </w:rPr>
        <w:t xml:space="preserve">transformation de la comptabilité des assureurs</w:t>
      </w:r>
      <w:r>
        <w:rPr>
          <w:color w:val="262626"/>
        </w:rPr>
        <w:t xml:space="preserve">, plus de 25 ans en assurance, réassurance et gestion d'actifs : de l'étude d'impact et du modèle opératoire cible à la </w:t>
      </w:r>
      <w:r>
        <w:rPr>
          <w:b/>
          <w:bCs/>
          <w:color w:val="262626"/>
        </w:rPr>
        <w:t xml:space="preserve">clôture à blanc</w:t>
      </w:r>
      <w:r>
        <w:rPr>
          <w:color w:val="262626"/>
        </w:rPr>
        <w:t xml:space="preserve">, à la conception des systèmes, à la recette et à la première année de production sous </w:t>
      </w:r>
      <w:r>
        <w:rPr>
          <w:b/>
          <w:bCs/>
          <w:color w:val="262626"/>
        </w:rPr>
        <w:t xml:space="preserve">IFRS 17, IFRS 9 et Solvabilité II</w:t>
      </w:r>
      <w:r>
        <w:rPr>
          <w:color w:val="262626"/>
        </w:rPr>
        <w:t xml:space="preserve">.</w:t>
      </w:r>
    </w:p>
    <w:p w14:paraId="1EBACD71" w14:textId="60F7E814" w:rsidR="00791555" w:rsidRPr="00791555" w:rsidRDefault="00000000" w:rsidP="00E97BD2">
      <w:pPr>
        <w:pStyle w:val="Paragraphedeliste"/>
        <w:numPr>
          <w:ilvl w:val="0"/>
          <w:numId w:val="10"/>
        </w:numPr>
        <w:spacing w:before="80" w:after="80"/>
        <w:ind w:left="142" w:right="120" w:hanging="142"/>
        <w:jc w:val="both"/>
      </w:pPr>
      <w:r>
        <w:rPr>
          <w:color w:val="262626"/>
        </w:rPr>
        <w:t xml:space="preserve">Profil rare : </w:t>
      </w:r>
      <w:r>
        <w:rPr>
          <w:b/>
          <w:bCs/>
          <w:color w:val="262626"/>
        </w:rPr>
        <w:t xml:space="preserve">ensemble des épreuves du Centre d'Études Actuarielles validé</w:t>
      </w:r>
      <w:r>
        <w:rPr>
          <w:color w:val="262626"/>
        </w:rPr>
        <w:t xml:space="preserve">, expertise comptable (D.E.C.F.) et pilotage de programme (PMP) ; crédible auprès de la Finance, de l'Actuariat, des Risques et de l'IT.</w:t>
      </w:r>
    </w:p>
    <w:p w14:paraId="1EBACD71" w14:textId="60F7E814" w:rsidR="00791555" w:rsidRPr="00791555" w:rsidRDefault="00000000" w:rsidP="00E97BD2">
      <w:pPr>
        <w:pStyle w:val="Paragraphedeliste"/>
        <w:numPr>
          <w:ilvl w:val="0"/>
          <w:numId w:val="10"/>
        </w:numPr>
        <w:spacing w:before="80" w:after="80"/>
        <w:ind w:left="142" w:right="120" w:hanging="142"/>
        <w:jc w:val="both"/>
      </w:pPr>
      <w:r>
        <w:rPr>
          <w:color w:val="262626"/>
        </w:rPr>
        <w:t xml:space="preserve">Parcours : Finance Stream Leader IFRS 9 / IFRS 17 / Solvabilité II chez </w:t>
      </w:r>
      <w:r>
        <w:rPr>
          <w:b/>
          <w:bCs/>
          <w:color w:val="262626"/>
        </w:rPr>
        <w:t xml:space="preserve">AXA XL</w:t>
      </w:r>
      <w:r>
        <w:rPr>
          <w:color w:val="262626"/>
        </w:rPr>
        <w:t xml:space="preserve"> (éligibilité PAA, clôture à blanc sous SAS, livrables Solvabilité II) ; IFRS 9 chez </w:t>
      </w:r>
      <w:r>
        <w:rPr>
          <w:b/>
          <w:bCs/>
          <w:color w:val="262626"/>
        </w:rPr>
        <w:t xml:space="preserve">Coface</w:t>
      </w:r>
      <w:r>
        <w:rPr>
          <w:color w:val="262626"/>
        </w:rPr>
        <w:t xml:space="preserve">, déployé par étapes sur quatre ans (Finance seule propriétaire du modèle ECL) ; responsable de la comptabilité technique et du provisionnement (Bornhuetter-Ferguson) ; manager audit assurance chez Mazars.</w:t>
      </w:r>
    </w:p>
    <w:p w14:paraId="1EBACD71" w14:textId="60F7E814" w:rsidR="00791555" w:rsidRPr="00791555" w:rsidRDefault="00000000" w:rsidP="00E97BD2">
      <w:pPr>
        <w:pStyle w:val="Paragraphedeliste"/>
        <w:numPr>
          <w:ilvl w:val="0"/>
          <w:numId w:val="10"/>
        </w:numPr>
        <w:spacing w:before="80" w:after="80"/>
        <w:ind w:left="142" w:right="120" w:hanging="142"/>
        <w:jc w:val="both"/>
      </w:pPr>
      <w:r>
        <w:rPr>
          <w:b/>
          <w:bCs/>
          <w:color w:val="262626"/>
        </w:rPr>
        <w:t xml:space="preserve">Bilingue français / anglais</w:t>
      </w:r>
      <w:r>
        <w:rPr>
          <w:color w:val="262626"/>
        </w:rPr>
        <w:t xml:space="preserve">. Basé à Paris ; missions hybrides en France et en Europe.</w:t>
      </w:r>
    </w:p>
    <w:p w14:paraId="7A2595E5" w14:textId="77777777" w:rsidR="004B17F9" w:rsidRDefault="00000000">
      <w:pPr>
        <w:shd w:val="clear" w:color="auto" w:fill="2E75B6"/>
        <w:spacing w:before="200" w:after="80"/>
      </w:pPr>
      <w:r>
        <w:rPr>
          <w:b/>
          <w:color w:val="FFFFFF"/>
          <w:sz w:val="22"/>
        </w:rPr>
        <w:t xml:space="preserve">  MISSIONS RÉGLEMENTAIRES CLÉS — IFRS 9 / IFRS 17 / SOLVABILITÉ II</w:t>
      </w:r>
    </w:p>
    <w:p w14:paraId="0EF47612" w14:textId="77777777" w:rsidR="004B17F9" w:rsidRDefault="00000000" w:rsidP="00E97BD2">
      <w:pPr>
        <w:pStyle w:val="Paragraphedeliste"/>
        <w:numPr>
          <w:ilvl w:val="0"/>
          <w:numId w:val="11"/>
        </w:numPr>
        <w:spacing w:before="40" w:after="40"/>
        <w:ind w:left="142" w:hanging="142"/>
        <w:jc w:val="both"/>
      </w:pPr>
      <w:r>
        <w:rPr>
          <w:b/>
          <w:color w:val="1F3864"/>
        </w:rPr>
        <w:t xml:space="preserve">AXA XL (Finance IARD)</w:t>
      </w:r>
      <w:r>
        <w:rPr>
          <w:color w:val="262626"/>
        </w:rPr>
        <w:t xml:space="preserve">  —  Finance Stream Leader IFRS 9 + IFRS 17 + Solvabilité II — éligibilité PAA sur toutes les lignes de métier, clôture à blanc sous SAS, impact d'environ 25 M€ sur les capitaux propres, livrables Solvabilité II (QRT, ORSA, RSR/SFCR) (2018–2019)</w:t>
      </w:r>
    </w:p>
    <w:p w14:paraId="0EF47612" w14:textId="77777777" w:rsidR="004B17F9" w:rsidRDefault="00000000" w:rsidP="00E97BD2">
      <w:pPr>
        <w:pStyle w:val="Paragraphedeliste"/>
        <w:numPr>
          <w:ilvl w:val="0"/>
          <w:numId w:val="11"/>
        </w:numPr>
        <w:spacing w:before="40" w:after="40"/>
        <w:ind w:left="142" w:hanging="142"/>
        <w:jc w:val="both"/>
      </w:pPr>
      <w:r>
        <w:rPr>
          <w:b/>
          <w:color w:val="1F3864"/>
        </w:rPr>
        <w:t xml:space="preserve">Coface, Direction financière Groupe</w:t>
      </w:r>
      <w:r>
        <w:rPr>
          <w:color w:val="262626"/>
        </w:rPr>
        <w:t xml:space="preserve">  —  Chef de projet IFRS 9 — déploiement par étapes : POC, modèle ECL (SAS, Finance seule propriétaire, matrices de risque externes), schémas comptables, migration de données, recette (2020–2022)</w:t>
      </w:r>
    </w:p>
    <w:p w14:paraId="0EF47612" w14:textId="77777777" w:rsidR="004B17F9" w:rsidRDefault="00000000" w:rsidP="00E97BD2">
      <w:pPr>
        <w:pStyle w:val="Paragraphedeliste"/>
        <w:numPr>
          <w:ilvl w:val="0"/>
          <w:numId w:val="11"/>
        </w:numPr>
        <w:spacing w:before="40" w:after="40"/>
        <w:ind w:left="142" w:hanging="142"/>
        <w:jc w:val="both"/>
      </w:pPr>
      <w:r>
        <w:rPr>
          <w:b/>
          <w:color w:val="1F3864"/>
        </w:rPr>
        <w:t xml:space="preserve">Coface, Direction financière Groupe</w:t>
      </w:r>
      <w:r>
        <w:rPr>
          <w:color w:val="262626"/>
        </w:rPr>
        <w:t xml:space="preserve">  —  Responsable Groupe de la comptabilité des placements — production IFRS 9, automatisation du Record-to-Report, clôture J+5 → J+3 via SAP S/4HANA, tableau de bord Power BI (2023–2024)</w:t>
      </w:r>
    </w:p>
    <w:p w14:paraId="0EF47612" w14:textId="77777777" w:rsidR="004B17F9" w:rsidRDefault="00000000" w:rsidP="00E97BD2">
      <w:pPr>
        <w:pStyle w:val="Paragraphedeliste"/>
        <w:numPr>
          <w:ilvl w:val="0"/>
          <w:numId w:val="11"/>
        </w:numPr>
        <w:spacing w:before="40" w:after="40"/>
        <w:ind w:left="142" w:hanging="142"/>
        <w:jc w:val="both"/>
      </w:pPr>
      <w:r>
        <w:rPr>
          <w:b/>
          <w:color w:val="1F3864"/>
        </w:rPr>
        <w:t xml:space="preserve">Coface</w:t>
      </w:r>
      <w:r>
        <w:rPr>
          <w:color w:val="262626"/>
        </w:rPr>
        <w:t xml:space="preserve">  —  Responsable de la comptabilité technique et du provisionnement — provisionnement stochastique Bornhuetter-Ferguson, comptabilité technique IFRS (2004–2005) ; Data Warehouse placements sous SAS (2017–2018)</w:t>
      </w:r>
    </w:p>
    <w:p w14:paraId="0EF47612" w14:textId="77777777" w:rsidR="004B17F9" w:rsidRDefault="00000000" w:rsidP="00E97BD2">
      <w:pPr>
        <w:pStyle w:val="Paragraphedeliste"/>
        <w:numPr>
          <w:ilvl w:val="0"/>
          <w:numId w:val="11"/>
        </w:numPr>
        <w:spacing w:before="40" w:after="40"/>
        <w:ind w:left="142" w:hanging="142"/>
        <w:jc w:val="both"/>
      </w:pPr>
      <w:r>
        <w:rPr>
          <w:b/>
          <w:color w:val="1F3864"/>
        </w:rPr>
        <w:t xml:space="preserve">Clearwater Analytics</w:t>
      </w:r>
      <w:r>
        <w:rPr>
          <w:color w:val="262626"/>
        </w:rPr>
        <w:t xml:space="preserve">  —  Directeur de programme senior — chaîne de reporting Solvabilité II sur une plateforme d'investissement SaaS pour un réassureur français, conception comptable en normes françaises (2024–2026)</w:t>
      </w:r>
    </w:p>
    <w:p w14:paraId="0EF47612" w14:textId="77777777" w:rsidR="004B17F9" w:rsidRDefault="00000000" w:rsidP="00E97BD2">
      <w:pPr>
        <w:pStyle w:val="Paragraphedeliste"/>
        <w:numPr>
          <w:ilvl w:val="0"/>
          <w:numId w:val="11"/>
        </w:numPr>
        <w:spacing w:before="40" w:after="40"/>
        <w:ind w:left="142" w:hanging="142"/>
        <w:jc w:val="both"/>
      </w:pPr>
      <w:r>
        <w:rPr>
          <w:b/>
          <w:color w:val="1F3864"/>
        </w:rPr>
        <w:t xml:space="preserve">Mazars</w:t>
      </w:r>
      <w:r>
        <w:rPr>
          <w:color w:val="262626"/>
        </w:rPr>
        <w:t xml:space="preserve">  —  Manager audit assurance et réassurance — commissariat aux comptes, contrôle interne, revues de provisionnement (1999–2004)</w:t>
      </w:r>
    </w:p>
    <w:p w14:paraId="44172433" w14:textId="2D0CC68C" w:rsidR="004B17F9" w:rsidRPr="0013741E" w:rsidRDefault="00000000" w:rsidP="00791555">
      <w:pPr>
        <w:spacing w:before="60" w:after="60"/>
        <w:ind w:left="120" w:right="120"/>
        <w:rPr>
          <w:color w:val="FFFFFF" w:themeColor="background1"/>
          <w:sz w:val="4"/>
          <w:szCs w:val="4"/>
        </w:rPr>
      </w:pPr>
      <w:r>
        <w:rPr>
          <w:color w:val="FFFFFF" w:themeColor="background1"/>
          <w:sz w:val="4"/>
          <w:szCs w:val="4"/>
        </w:rPr>
        <w:t xml:space="preserve">IFRS 17  |  IFRS 9  |  Solvabilité II  |  PAA  |  GMM  |  Modèle ECL  |  Transformation de la Finance  |  Comptabilité technique  |  Provisionnement  |  Provisions techniques  |  QRT  |  ORSA / RSR / SFCR  |  Modèle opératoire cible  |  Clôture à blanc  |  Étude d'impact  |  Record to Report  |  Automatisation  |  Migration de données  |  Recette (UAT)  |  Interface Finance / Actuariat / IT  |  PMO  |  SAP S/4HANA  |  SAP BFC  |  SAS  |  Comptabilité des placements  |  Optimisation de la clôture  |  Transparisation  |  Reporting réglementaire  |  Power BI  |  Solvency II  |  Dry-run</w:t>
      </w:r>
    </w:p>
    <w:p w14:paraId="7A2595E5" w14:textId="77777777" w:rsidR="004B17F9" w:rsidRDefault="00000000">
      <w:pPr>
        <w:shd w:val="clear" w:color="auto" w:fill="2E75B6"/>
        <w:spacing w:before="200" w:after="80"/>
      </w:pPr>
      <w:r>
        <w:rPr>
          <w:b/>
          <w:color w:val="FFFFFF"/>
          <w:sz w:val="22"/>
        </w:rPr>
        <w:t xml:space="preserve">  EXPÉRIENCE PROFESSIONNELLE</w:t>
      </w:r>
    </w:p>
    <w:p w14:paraId="663BF815" w14:textId="4483F212" w:rsidR="004B17F9" w:rsidRDefault="00000000">
      <w:pPr>
        <w:spacing w:before="160" w:after="30"/>
      </w:pPr>
      <w:r>
        <w:rPr>
          <w:b/>
          <w:color w:val="1F3864"/>
          <w:sz w:val="21"/>
        </w:rPr>
        <w:t xml:space="preserve">AXA XL  —  Finance IARD</w:t>
      </w:r>
      <w:r>
        <w:rPr>
          <w:color w:val="595959"/>
        </w:rPr>
        <w:t xml:space="preserve">  ·  mai 2018 – juil. 2019  (15 mois)</w:t>
      </w:r>
    </w:p>
    <w:p w14:paraId="25A92EEC" w14:textId="77777777" w:rsidR="004B17F9" w:rsidRDefault="00000000">
      <w:pPr>
        <w:spacing w:after="60"/>
      </w:pPr>
      <w:r>
        <w:rPr>
          <w:b/>
          <w:i/>
          <w:color w:val="2E75B6"/>
        </w:rPr>
        <w:t xml:space="preserve">Finance Stream Leader — IFRS 9 / IFRS 17 / Solvabilité II</w:t>
      </w:r>
    </w:p>
    <w:p w14:paraId="6679DFC9" w14:textId="77777777" w:rsidR="004B17F9" w:rsidRDefault="00000000">
      <w:pPr>
        <w:pStyle w:val="Listepuces"/>
        <w:spacing w:before="30" w:after="30"/>
        <w:ind w:hanging="180"/>
      </w:pPr>
      <w:r>
        <w:rPr>
          <w:color w:val="262626"/>
        </w:rPr>
        <w:t xml:space="preserve">Pilotage de l'étude d'impact et des chantiers Finance d'une transformation combinée </w:t>
      </w:r>
      <w:r>
        <w:rPr>
          <w:b/>
          <w:color w:val="262626"/>
        </w:rPr>
        <w:t xml:space="preserve">IFRS 9, IFRS 17 et Solvabilité II</w:t>
      </w:r>
      <w:r>
        <w:rPr>
          <w:color w:val="262626"/>
        </w:rPr>
        <w:t xml:space="preserve"> dans une entité IARD du groupe AXA.</w:t>
      </w:r>
    </w:p>
    <w:p w14:paraId="6679DFC9" w14:textId="77777777" w:rsidR="004B17F9" w:rsidRDefault="00000000">
      <w:pPr>
        <w:pStyle w:val="Listepuces"/>
        <w:spacing w:before="30" w:after="30"/>
        <w:ind w:hanging="180"/>
      </w:pPr>
      <w:r>
        <w:rPr>
          <w:color w:val="262626"/>
        </w:rPr>
        <w:t xml:space="preserve">IFRS 9 : étude de classement et d'évaluation du portefeuille de placements, approche de dépréciation, écritures de transition et méthodologie de staging ECL, avec les Risques et l'Actuariat pour les données du modèle de provisionnement.</w:t>
      </w:r>
    </w:p>
    <w:p w14:paraId="6679DFC9" w14:textId="77777777" w:rsidR="004B17F9" w:rsidRDefault="00000000">
      <w:pPr>
        <w:pStyle w:val="Listepuces"/>
        <w:spacing w:before="30" w:after="30"/>
        <w:ind w:hanging="180"/>
      </w:pPr>
      <w:r>
        <w:rPr>
          <w:color w:val="262626"/>
        </w:rPr>
        <w:t xml:space="preserve">IFRS 17 : confirmation de l'</w:t>
      </w:r>
      <w:r>
        <w:rPr>
          <w:b/>
          <w:color w:val="262626"/>
        </w:rPr>
        <w:t xml:space="preserve">éligibilité à la PAA</w:t>
      </w:r>
      <w:r>
        <w:rPr>
          <w:color w:val="262626"/>
        </w:rPr>
        <w:t xml:space="preserve"> pour toutes les familles de contrats (couverture ≤ 1 an) ; </w:t>
      </w:r>
      <w:r>
        <w:rPr>
          <w:b/>
          <w:color w:val="262626"/>
        </w:rPr>
        <w:t xml:space="preserve">clôture à blanc</w:t>
      </w:r>
      <w:r>
        <w:rPr>
          <w:color w:val="262626"/>
        </w:rPr>
        <w:t xml:space="preserve"> IFRS 17 au 31 décembre 2017 sur un modèle interne SAS (dérivé du modèle Groupe) : </w:t>
      </w:r>
      <w:r>
        <w:rPr>
          <w:b/>
          <w:color w:val="262626"/>
        </w:rPr>
        <w:t xml:space="preserve">impact de transition d'environ 25 M€</w:t>
      </w:r>
      <w:r>
        <w:rPr>
          <w:color w:val="262626"/>
        </w:rPr>
        <w:t xml:space="preserve"> sur les capitaux propres et écart d'environ 1,5 point de ratio combiné sur 8 lignes de métier.</w:t>
      </w:r>
    </w:p>
    <w:p w14:paraId="6679DFC9" w14:textId="77777777" w:rsidR="004B17F9" w:rsidRDefault="00000000">
      <w:pPr>
        <w:pStyle w:val="Listepuces"/>
        <w:spacing w:before="30" w:after="30"/>
        <w:ind w:hanging="180"/>
      </w:pPr>
      <w:r>
        <w:rPr>
          <w:color w:val="262626"/>
        </w:rPr>
        <w:t xml:space="preserve">Définition du </w:t>
      </w:r>
      <w:r>
        <w:rPr>
          <w:b/>
          <w:color w:val="262626"/>
        </w:rPr>
        <w:t xml:space="preserve">modèle opératoire cible</w:t>
      </w:r>
      <w:r>
        <w:rPr>
          <w:color w:val="262626"/>
        </w:rPr>
        <w:t xml:space="preserve"> : organisation, processus, outils comptables et architecture de reporting sous les nouvelles normes.</w:t>
      </w:r>
    </w:p>
    <w:p w14:paraId="6679DFC9" w14:textId="77777777" w:rsidR="004B17F9" w:rsidRDefault="00000000">
      <w:pPr>
        <w:pStyle w:val="Listepuces"/>
        <w:spacing w:before="30" w:after="30"/>
        <w:ind w:hanging="180"/>
      </w:pPr>
      <w:r>
        <w:rPr>
          <w:color w:val="262626"/>
        </w:rPr>
        <w:t xml:space="preserve">Supervision des livrables Solvabilité II — QRT (Invoke), contributions à l'ORSA, au RSR et au SFCR ; co-animation des comités de pilotage avec la Finance, l'Actuariat, les Risques, la Réassurance, l'IT et l'audit externe.</w:t>
      </w:r>
    </w:p>
    <w:p w14:paraId="6679DFC9" w14:textId="77777777" w:rsidR="004B17F9" w:rsidRDefault="00000000">
      <w:pPr>
        <w:pStyle w:val="Listepuces"/>
        <w:spacing w:before="30" w:after="30"/>
        <w:ind w:hanging="180"/>
      </w:pPr>
      <w:r>
        <w:rPr>
          <w:color w:val="262626"/>
        </w:rPr>
        <w:t xml:space="preserve">Organisation des clôtures trimestrielles et annuelles : planification, répartition des tâches, reporting quotidien à la direction.</w:t>
      </w:r>
    </w:p>
    <w:p w14:paraId="4A1D94FB" w14:textId="77777777" w:rsidR="004B17F9" w:rsidRDefault="004B17F9">
      <w:pPr>
        <w:pBdr>
          <w:bottom w:val="single" w:sz="4" w:space="1" w:color="D6E4F0"/>
        </w:pBdr>
        <w:spacing w:after="0" w:line="240" w:lineRule="auto"/>
      </w:pPr>
    </w:p>
    <w:p w14:paraId="663BF815" w14:textId="4483F212" w:rsidR="004B17F9" w:rsidRDefault="00000000">
      <w:pPr>
        <w:spacing w:before="160" w:after="30"/>
      </w:pPr>
      <w:r>
        <w:rPr>
          <w:b/>
          <w:color w:val="1F3864"/>
          <w:sz w:val="21"/>
        </w:rPr>
        <w:t xml:space="preserve">Coface  —  Direction financière Groupe</w:t>
      </w:r>
      <w:r>
        <w:rPr>
          <w:color w:val="595959"/>
        </w:rPr>
        <w:t xml:space="preserve">  ·  mai 2017 – mai 2018  +  janv. 2020 – oct. 2024  (5 ans)</w:t>
      </w:r>
    </w:p>
    <w:p w14:paraId="25A92EEC" w14:textId="77777777" w:rsidR="004B17F9" w:rsidRDefault="00000000">
      <w:pPr>
        <w:spacing w:after="60"/>
      </w:pPr>
      <w:r>
        <w:rPr>
          <w:b/>
          <w:i/>
          <w:color w:val="2E75B6"/>
        </w:rPr>
        <w:t xml:space="preserve">Chef de projet IFRS 9  /  Responsable Groupe de la comptabilité des placements</w:t>
      </w:r>
    </w:p>
    <w:p w14:paraId="3777882A" w14:textId="77777777" w:rsidR="004B17F9" w:rsidRDefault="00000000">
      <w:pPr>
        <w:spacing w:before="80" w:after="20"/>
        <w:ind w:left="180"/>
      </w:pPr>
      <w:r>
        <w:rPr>
          <w:b/>
          <w:color w:val="2E75B6"/>
        </w:rPr>
        <w:t xml:space="preserve">Chef de projet IFRS 9  (janv. 2020 – déc. 2022)</w:t>
      </w:r>
    </w:p>
    <w:p w14:paraId="6679DFC9" w14:textId="77777777" w:rsidR="004B17F9" w:rsidRDefault="00000000">
      <w:pPr>
        <w:pStyle w:val="Listepuces"/>
        <w:spacing w:before="30" w:after="30"/>
        <w:ind w:hanging="180"/>
      </w:pPr>
      <w:r>
        <w:rPr>
          <w:color w:val="262626"/>
        </w:rPr>
        <w:t xml:space="preserve">Pilotage des chantiers Finance d'IFRS 9, </w:t>
      </w:r>
      <w:r>
        <w:rPr>
          <w:b/>
          <w:color w:val="262626"/>
        </w:rPr>
        <w:t xml:space="preserve">déployé par étapes sur quatre ans</w:t>
      </w:r>
      <w:r>
        <w:rPr>
          <w:color w:val="262626"/>
        </w:rPr>
        <w:t xml:space="preserve"> : POC successifs, méthodologie ECL, schémas comptables, recette, coordination avec le dépositaire CACEIS.</w:t>
      </w:r>
    </w:p>
    <w:p w14:paraId="6679DFC9" w14:textId="77777777" w:rsidR="004B17F9" w:rsidRDefault="00000000">
      <w:pPr>
        <w:pStyle w:val="Listepuces"/>
        <w:spacing w:before="30" w:after="30"/>
        <w:ind w:hanging="180"/>
      </w:pPr>
      <w:r>
        <w:rPr>
          <w:color w:val="262626"/>
        </w:rPr>
        <w:t xml:space="preserve">Conception de bout en bout du </w:t>
      </w:r>
      <w:r>
        <w:rPr>
          <w:b/>
          <w:color w:val="262626"/>
        </w:rPr>
        <w:t xml:space="preserve">modèle ECL</w:t>
      </w:r>
      <w:r>
        <w:rPr>
          <w:color w:val="262626"/>
        </w:rPr>
        <w:t xml:space="preserve"> sur matrices de risque externes, implémenté sous </w:t>
      </w:r>
      <w:r>
        <w:rPr>
          <w:b/>
          <w:color w:val="262626"/>
        </w:rPr>
        <w:t xml:space="preserve">SAS</w:t>
      </w:r>
      <w:r>
        <w:rPr>
          <w:color w:val="262626"/>
        </w:rPr>
        <w:t xml:space="preserve">, avec la </w:t>
      </w:r>
      <w:r>
        <w:rPr>
          <w:b/>
          <w:color w:val="262626"/>
        </w:rPr>
        <w:t xml:space="preserve">Finance seule propriétaire du modèle</w:t>
      </w:r>
      <w:r>
        <w:rPr>
          <w:color w:val="262626"/>
        </w:rPr>
        <w:t xml:space="preserve"> — un dispositif peu courant qui garantit la maîtrise de sa gouvernance ; analyse mensuelle des écarts en production.</w:t>
      </w:r>
    </w:p>
    <w:p w14:paraId="6679DFC9" w14:textId="77777777" w:rsidR="004B17F9" w:rsidRDefault="00000000">
      <w:pPr>
        <w:pStyle w:val="Listepuces"/>
        <w:spacing w:before="30" w:after="30"/>
        <w:ind w:hanging="180"/>
      </w:pPr>
      <w:r>
        <w:rPr>
          <w:color w:val="262626"/>
        </w:rPr>
        <w:t xml:space="preserve">Validation des schémas comptables de transition (écritures de première application) ; refonte du calendrier de clôture ; automatisation des contrôles ; coordination Finance, Risques, IT et commissaires aux comptes.</w:t>
      </w:r>
    </w:p>
    <w:p w14:paraId="3777882A" w14:textId="77777777" w:rsidR="004B17F9" w:rsidRDefault="00000000">
      <w:pPr>
        <w:spacing w:before="80" w:after="20"/>
        <w:ind w:left="180"/>
      </w:pPr>
      <w:r>
        <w:rPr>
          <w:b/>
          <w:color w:val="2E75B6"/>
        </w:rPr>
        <w:t xml:space="preserve">Responsable Groupe de la comptabilité des placements  (janv. 2023 – oct. 2024)</w:t>
      </w:r>
    </w:p>
    <w:p w14:paraId="6679DFC9" w14:textId="77777777" w:rsidR="004B17F9" w:rsidRDefault="00000000">
      <w:pPr>
        <w:pStyle w:val="Listepuces"/>
        <w:spacing w:before="30" w:after="30"/>
        <w:ind w:hanging="180"/>
      </w:pPr>
      <w:r>
        <w:rPr>
          <w:color w:val="262626"/>
        </w:rPr>
        <w:t xml:space="preserve">Première année de production IFRS 9 pour un </w:t>
      </w:r>
      <w:r>
        <w:rPr>
          <w:b/>
          <w:color w:val="262626"/>
        </w:rPr>
        <w:t xml:space="preserve">portefeuille d'environ 3 Md€</w:t>
      </w:r>
      <w:r>
        <w:rPr>
          <w:color w:val="262626"/>
        </w:rPr>
        <w:t xml:space="preserve"> délégué à CACEIS, sur </w:t>
      </w:r>
      <w:r>
        <w:rPr>
          <w:b/>
          <w:color w:val="262626"/>
        </w:rPr>
        <w:t xml:space="preserve">une vingtaine d'entités internationales</w:t>
      </w:r>
      <w:r>
        <w:rPr>
          <w:color w:val="262626"/>
        </w:rPr>
        <w:t xml:space="preserve"> ; clôture ramenée de </w:t>
      </w:r>
      <w:r>
        <w:rPr>
          <w:b/>
          <w:color w:val="262626"/>
        </w:rPr>
        <w:t xml:space="preserve">J+5 à J+3</w:t>
      </w:r>
      <w:r>
        <w:rPr>
          <w:color w:val="262626"/>
        </w:rPr>
        <w:t xml:space="preserve"> par l'automatisation des interfaces SAP S/4HANA et de la chaîne SAP → SAP BFC.</w:t>
      </w:r>
    </w:p>
    <w:p w14:paraId="6679DFC9" w14:textId="77777777" w:rsidR="004B17F9" w:rsidRDefault="00000000">
      <w:pPr>
        <w:pStyle w:val="Listepuces"/>
        <w:spacing w:before="30" w:after="30"/>
        <w:ind w:hanging="180"/>
      </w:pPr>
      <w:r>
        <w:rPr>
          <w:color w:val="262626"/>
        </w:rPr>
        <w:t xml:space="preserve">Industrialisation du Record-to-Report : </w:t>
      </w:r>
      <w:r>
        <w:rPr>
          <w:b/>
          <w:color w:val="262626"/>
        </w:rPr>
        <w:t xml:space="preserve">Power Query</w:t>
      </w:r>
      <w:r>
        <w:rPr>
          <w:color w:val="262626"/>
        </w:rPr>
        <w:t xml:space="preserve"> pour les données CACEIS, </w:t>
      </w:r>
      <w:r>
        <w:rPr>
          <w:b/>
          <w:color w:val="262626"/>
        </w:rPr>
        <w:t xml:space="preserve">macros VBA</w:t>
      </w:r>
      <w:r>
        <w:rPr>
          <w:color w:val="262626"/>
        </w:rPr>
        <w:t xml:space="preserve"> de conversion dépositaire → SAP, automatisation </w:t>
      </w:r>
      <w:r>
        <w:rPr>
          <w:b/>
          <w:color w:val="262626"/>
        </w:rPr>
        <w:t xml:space="preserve">SAP FC Publisher</w:t>
      </w:r>
      <w:r>
        <w:rPr>
          <w:color w:val="262626"/>
        </w:rPr>
        <w:t xml:space="preserve"> pour la consolidation BFC ; tableau de bord </w:t>
      </w:r>
      <w:r>
        <w:rPr>
          <w:b/>
          <w:color w:val="262626"/>
        </w:rPr>
        <w:t xml:space="preserve">Power BI</w:t>
      </w:r>
      <w:r>
        <w:rPr>
          <w:color w:val="262626"/>
        </w:rPr>
        <w:t xml:space="preserve"> des placements.</w:t>
      </w:r>
    </w:p>
    <w:p w14:paraId="3777882A" w14:textId="77777777" w:rsidR="004B17F9" w:rsidRDefault="00000000">
      <w:pPr>
        <w:spacing w:before="80" w:after="20"/>
        <w:ind w:left="180"/>
      </w:pPr>
      <w:r>
        <w:rPr>
          <w:b/>
          <w:color w:val="2E75B6"/>
        </w:rPr>
        <w:t xml:space="preserve">Première mission  (mai 2017 – mai 2018)</w:t>
      </w:r>
    </w:p>
    <w:p w14:paraId="6679DFC9" w14:textId="77777777" w:rsidR="004B17F9" w:rsidRDefault="00000000">
      <w:pPr>
        <w:pStyle w:val="Listepuces"/>
        <w:spacing w:before="30" w:after="30"/>
        <w:ind w:hanging="180"/>
      </w:pPr>
      <w:r>
        <w:rPr>
          <w:color w:val="262626"/>
        </w:rPr>
        <w:t xml:space="preserve">Responsable de la comptabilité technique : comptabilité des placements, reporting réglementaire, modèle opératoire ; création d'un </w:t>
      </w:r>
      <w:r>
        <w:rPr>
          <w:b/>
          <w:color w:val="262626"/>
        </w:rPr>
        <w:t xml:space="preserve">Data Warehouse placements sous SAS</w:t>
      </w:r>
      <w:r>
        <w:rPr>
          <w:color w:val="262626"/>
        </w:rPr>
        <w:t xml:space="preserve">, socle du modèle ECL de 2020.</w:t>
      </w:r>
    </w:p>
    <w:p w14:paraId="4A1D94FB" w14:textId="77777777" w:rsidR="004B17F9" w:rsidRDefault="004B17F9">
      <w:pPr>
        <w:pBdr>
          <w:bottom w:val="single" w:sz="4" w:space="1" w:color="D6E4F0"/>
        </w:pBdr>
        <w:spacing w:after="0" w:line="240" w:lineRule="auto"/>
      </w:pPr>
    </w:p>
    <w:p w14:paraId="663BF815" w14:textId="4483F212" w:rsidR="004B17F9" w:rsidRDefault="00000000">
      <w:pPr>
        <w:spacing w:before="160" w:after="30"/>
      </w:pPr>
      <w:r>
        <w:rPr>
          <w:b/>
          <w:color w:val="1F3864"/>
          <w:sz w:val="21"/>
        </w:rPr>
        <w:t xml:space="preserve">Coface  —  Direction financière Groupe  (premier passage)</w:t>
      </w:r>
      <w:r>
        <w:rPr>
          <w:color w:val="595959"/>
        </w:rPr>
        <w:t xml:space="preserve">  ·  mai 2004 – oct. 2005  (18 mois)</w:t>
      </w:r>
    </w:p>
    <w:p w14:paraId="25A92EEC" w14:textId="77777777" w:rsidR="004B17F9" w:rsidRDefault="00000000">
      <w:pPr>
        <w:spacing w:after="60"/>
      </w:pPr>
      <w:r>
        <w:rPr>
          <w:b/>
          <w:i/>
          <w:color w:val="2E75B6"/>
        </w:rPr>
        <w:t xml:space="preserve">Responsable de la comptabilité technique et du provisionnement</w:t>
      </w:r>
    </w:p>
    <w:p w14:paraId="6679DFC9" w14:textId="77777777" w:rsidR="004B17F9" w:rsidRDefault="00000000">
      <w:pPr>
        <w:pStyle w:val="Listepuces"/>
        <w:spacing w:before="30" w:after="30"/>
        <w:ind w:hanging="180"/>
      </w:pPr>
      <w:r>
        <w:rPr>
          <w:color w:val="262626"/>
        </w:rPr>
        <w:t xml:space="preserve">Direction de la comptabilité technique d'assurance et du provisionnement d'un groupe multi-entités ; équipe de 16 personnes.</w:t>
      </w:r>
    </w:p>
    <w:p w14:paraId="6679DFC9" w14:textId="77777777" w:rsidR="004B17F9" w:rsidRDefault="00000000">
      <w:pPr>
        <w:pStyle w:val="Listepuces"/>
        <w:spacing w:before="30" w:after="30"/>
        <w:ind w:hanging="180"/>
      </w:pPr>
      <w:r>
        <w:rPr>
          <w:color w:val="262626"/>
        </w:rPr>
        <w:t xml:space="preserve">Conception et mise en œuvre d'une </w:t>
      </w:r>
      <w:r>
        <w:rPr>
          <w:b/>
          <w:color w:val="262626"/>
        </w:rPr>
        <w:t xml:space="preserve">méthode de provisionnement stochastique Bornhuetter-Ferguson</w:t>
      </w:r>
      <w:r>
        <w:rPr>
          <w:color w:val="262626"/>
        </w:rPr>
        <w:t xml:space="preserve">, en remplacement de l'estimation manuelle ; accélération de la clôture.</w:t>
      </w:r>
    </w:p>
    <w:p w14:paraId="6679DFC9" w14:textId="77777777" w:rsidR="004B17F9" w:rsidRDefault="00000000">
      <w:pPr>
        <w:pStyle w:val="Listepuces"/>
        <w:spacing w:before="30" w:after="30"/>
        <w:ind w:hanging="180"/>
      </w:pPr>
      <w:r>
        <w:rPr>
          <w:color w:val="262626"/>
        </w:rPr>
        <w:t xml:space="preserve">Coordination des équipes comptables, actuarielles et opérationnelles ; rapprochements intragroupe et coordination avec la Direction financière Groupe.</w:t>
      </w:r>
    </w:p>
    <w:p w14:paraId="4A1D94FB" w14:textId="77777777" w:rsidR="004B17F9" w:rsidRDefault="004B17F9">
      <w:pPr>
        <w:pBdr>
          <w:bottom w:val="single" w:sz="4" w:space="1" w:color="D6E4F0"/>
        </w:pBdr>
        <w:spacing w:after="0" w:line="240" w:lineRule="auto"/>
      </w:pPr>
    </w:p>
    <w:p w14:paraId="663BF815" w14:textId="4483F212" w:rsidR="004B17F9" w:rsidRDefault="00000000">
      <w:pPr>
        <w:spacing w:before="160" w:after="30"/>
      </w:pPr>
      <w:r>
        <w:rPr>
          <w:b/>
          <w:color w:val="1F3864"/>
          <w:sz w:val="21"/>
        </w:rPr>
        <w:t xml:space="preserve">Clearwater Analytics</w:t>
      </w:r>
      <w:r>
        <w:rPr>
          <w:color w:val="595959"/>
        </w:rPr>
        <w:t xml:space="preserve">  ·  nov. 2024 – juin 2026  (20 mois)</w:t>
      </w:r>
    </w:p>
    <w:p w14:paraId="25A92EEC" w14:textId="77777777" w:rsidR="004B17F9" w:rsidRDefault="00000000">
      <w:pPr>
        <w:spacing w:after="60"/>
      </w:pPr>
      <w:r>
        <w:rPr>
          <w:b/>
          <w:i/>
          <w:color w:val="2E75B6"/>
        </w:rPr>
        <w:t xml:space="preserve">Directeur de programme senior — Plateforme d'investissement et reporting Solvabilité II</w:t>
      </w:r>
    </w:p>
    <w:p w14:paraId="6679DFC9" w14:textId="77777777" w:rsidR="004B17F9" w:rsidRDefault="00000000">
      <w:pPr>
        <w:pStyle w:val="Listepuces"/>
        <w:spacing w:before="30" w:after="30"/>
        <w:ind w:hanging="180"/>
      </w:pPr>
      <w:r>
        <w:rPr>
          <w:color w:val="262626"/>
        </w:rPr>
        <w:t xml:space="preserve">Pilotage de bout en bout d'une plateforme d'investissement cloud (</w:t>
      </w:r>
      <w:r>
        <w:rPr>
          <w:b/>
          <w:color w:val="262626"/>
        </w:rPr>
        <w:t xml:space="preserve">SaaS Clearwater Analytics</w:t>
      </w:r>
      <w:r>
        <w:rPr>
          <w:color w:val="262626"/>
        </w:rPr>
        <w:t xml:space="preserve">, </w:t>
      </w:r>
      <w:r>
        <w:rPr>
          <w:b/>
          <w:color w:val="262626"/>
        </w:rPr>
        <w:t xml:space="preserve">11 Md€ d'actifs</w:t>
      </w:r>
      <w:r>
        <w:rPr>
          <w:color w:val="262626"/>
        </w:rPr>
        <w:t xml:space="preserve">) pour un réassureur français, dont le module de reporting Solvabilité II, la conception comptable en normes françaises et l'interface avec le grand livre.</w:t>
      </w:r>
    </w:p>
    <w:p w14:paraId="6679DFC9" w14:textId="77777777" w:rsidR="004B17F9" w:rsidRDefault="00000000">
      <w:pPr>
        <w:pStyle w:val="Listepuces"/>
        <w:spacing w:before="30" w:after="30"/>
        <w:ind w:hanging="180"/>
      </w:pPr>
      <w:r>
        <w:rPr>
          <w:b/>
          <w:color w:val="262626"/>
        </w:rPr>
        <w:t xml:space="preserve">STP</w:t>
      </w:r>
      <w:r>
        <w:rPr>
          <w:color w:val="262626"/>
        </w:rPr>
        <w:t xml:space="preserve"> complet de la gestion des ordres à la comptabilité et aux QRT Solvabilité II ; clôture ramenée de </w:t>
      </w:r>
      <w:r>
        <w:rPr>
          <w:b/>
          <w:color w:val="262626"/>
        </w:rPr>
        <w:t xml:space="preserve">J+4 à J+2</w:t>
      </w:r>
      <w:r>
        <w:rPr>
          <w:color w:val="262626"/>
        </w:rPr>
        <w:t xml:space="preserve">.</w:t>
      </w:r>
    </w:p>
    <w:p w14:paraId="6679DFC9" w14:textId="77777777" w:rsidR="004B17F9" w:rsidRDefault="00000000">
      <w:pPr>
        <w:pStyle w:val="Listepuces"/>
        <w:spacing w:before="30" w:after="30"/>
        <w:ind w:hanging="180"/>
      </w:pPr>
      <w:r>
        <w:rPr>
          <w:b/>
          <w:color w:val="262626"/>
        </w:rPr>
        <w:t xml:space="preserve">Contrôles et alertes fondés sur l'IA intégrée à l'outil</w:t>
      </w:r>
      <w:r>
        <w:rPr>
          <w:color w:val="262626"/>
        </w:rPr>
        <w:t xml:space="preserve"> (variations de prix, rapprochement tripartite FO/BO/dépositaire, traitement automatisé des fonds fermés).</w:t>
      </w:r>
    </w:p>
    <w:p w14:paraId="6679DFC9" w14:textId="77777777" w:rsidR="004B17F9" w:rsidRDefault="00000000">
      <w:pPr>
        <w:pStyle w:val="Listepuces"/>
        <w:spacing w:before="30" w:after="30"/>
        <w:ind w:hanging="180"/>
      </w:pPr>
      <w:r>
        <w:rPr>
          <w:color w:val="262626"/>
        </w:rPr>
        <w:t xml:space="preserve">Supervision du reporting Solvabilité II et des chantiers comptables jusqu'à la recette et la mise en production ; comités sponsors bilingues de niveau direction générale, RAID log (plus de 10 risques critiques), mises en production de l'OMS (déc. 2025) et du CORE (avr. 2026).</w:t>
      </w:r>
    </w:p>
    <w:p w14:paraId="4A1D94FB" w14:textId="77777777" w:rsidR="004B17F9" w:rsidRDefault="004B17F9">
      <w:pPr>
        <w:pBdr>
          <w:bottom w:val="single" w:sz="4" w:space="1" w:color="D6E4F0"/>
        </w:pBdr>
        <w:spacing w:after="0" w:line="240" w:lineRule="auto"/>
      </w:pPr>
    </w:p>
    <w:p w14:paraId="663BF815" w14:textId="4483F212" w:rsidR="004B17F9" w:rsidRDefault="00000000">
      <w:pPr>
        <w:spacing w:before="160" w:after="30"/>
      </w:pPr>
      <w:r>
        <w:rPr>
          <w:b/>
          <w:color w:val="1F3864"/>
          <w:sz w:val="21"/>
        </w:rPr>
        <w:t xml:space="preserve">CNP Assurances</w:t>
      </w:r>
      <w:r>
        <w:rPr>
          <w:color w:val="595959"/>
        </w:rPr>
        <w:t xml:space="preserve">  ·  2013 – 2017  (4 ans)</w:t>
      </w:r>
    </w:p>
    <w:p w14:paraId="25A92EEC" w14:textId="77777777" w:rsidR="004B17F9" w:rsidRDefault="00000000">
      <w:pPr>
        <w:spacing w:after="60"/>
      </w:pPr>
      <w:r>
        <w:rPr>
          <w:b/>
          <w:i/>
          <w:color w:val="2E75B6"/>
        </w:rPr>
        <w:t xml:space="preserve">Responsable de la production financière et Solvabilité II  /  Lead Business Owner SimCorp Dimension</w:t>
      </w:r>
    </w:p>
    <w:p w14:paraId="6679DFC9" w14:textId="77777777" w:rsidR="004B17F9" w:rsidRDefault="00000000">
      <w:pPr>
        <w:pStyle w:val="Listepuces"/>
        <w:spacing w:before="30" w:after="30"/>
        <w:ind w:hanging="180"/>
      </w:pPr>
      <w:r>
        <w:rPr>
          <w:color w:val="262626"/>
        </w:rPr>
        <w:t xml:space="preserve">Responsable de l'unité Production financière et Solvabilité II (mai–déc. 2013) : équipe de 5 personnes (reporting Solvabilité II, sensibilités des portefeuilles, reporting de performance) ; refonte du </w:t>
      </w:r>
      <w:r>
        <w:rPr>
          <w:b/>
          <w:color w:val="262626"/>
        </w:rPr>
        <w:t xml:space="preserve">modèle de projection du résultat financier</w:t>
      </w:r>
      <w:r>
        <w:rPr>
          <w:color w:val="262626"/>
        </w:rPr>
        <w:t xml:space="preserve"> ; feuille de route d'</w:t>
      </w:r>
      <w:r>
        <w:rPr>
          <w:b/>
          <w:color w:val="262626"/>
        </w:rPr>
        <w:t xml:space="preserve">Access</w:t>
      </w:r>
      <w:r>
        <w:rPr>
          <w:color w:val="262626"/>
        </w:rPr>
        <w:t xml:space="preserve"> vers </w:t>
      </w:r>
      <w:r>
        <w:rPr>
          <w:b/>
          <w:color w:val="262626"/>
        </w:rPr>
        <w:t xml:space="preserve">SAS</w:t>
      </w:r>
      <w:r>
        <w:rPr>
          <w:color w:val="262626"/>
        </w:rPr>
        <w:t xml:space="preserve"> et </w:t>
      </w:r>
      <w:r>
        <w:rPr>
          <w:b/>
          <w:color w:val="262626"/>
        </w:rPr>
        <w:t xml:space="preserve">QlikView</w:t>
      </w:r>
      <w:r>
        <w:rPr>
          <w:color w:val="262626"/>
        </w:rPr>
        <w:t xml:space="preserve">.</w:t>
      </w:r>
    </w:p>
    <w:p w14:paraId="6679DFC9" w14:textId="77777777" w:rsidR="004B17F9" w:rsidRDefault="00000000">
      <w:pPr>
        <w:pStyle w:val="Listepuces"/>
        <w:spacing w:before="30" w:after="30"/>
        <w:ind w:hanging="180"/>
      </w:pPr>
      <w:r>
        <w:rPr>
          <w:color w:val="262626"/>
        </w:rPr>
        <w:t xml:space="preserve">Lead Business Owner de </w:t>
      </w:r>
      <w:r>
        <w:rPr>
          <w:b/>
          <w:color w:val="262626"/>
        </w:rPr>
        <w:t xml:space="preserve">SimCorp Dimension</w:t>
      </w:r>
      <w:r>
        <w:rPr>
          <w:color w:val="262626"/>
        </w:rPr>
        <w:t xml:space="preserve"> (</w:t>
      </w:r>
      <w:r>
        <w:rPr>
          <w:b/>
          <w:color w:val="262626"/>
        </w:rPr>
        <w:t xml:space="preserve">environ 350 Md€ d'encours</w:t>
      </w:r>
      <w:r>
        <w:rPr>
          <w:color w:val="262626"/>
        </w:rPr>
        <w:t xml:space="preserve">) : conception fonctionnelle, règles et schémas comptables multi-référentiels, contrôles, reporting Solvabilité II, recette et mise en production.</w:t>
      </w:r>
    </w:p>
    <w:p w14:paraId="4A1D94FB" w14:textId="77777777" w:rsidR="004B17F9" w:rsidRDefault="004B17F9">
      <w:pPr>
        <w:pBdr>
          <w:bottom w:val="single" w:sz="4" w:space="1" w:color="D6E4F0"/>
        </w:pBdr>
        <w:spacing w:after="0" w:line="240" w:lineRule="auto"/>
      </w:pPr>
    </w:p>
    <w:p w14:paraId="663BF815" w14:textId="4483F212" w:rsidR="004B17F9" w:rsidRDefault="00000000">
      <w:pPr>
        <w:spacing w:before="160" w:after="30"/>
      </w:pPr>
      <w:r>
        <w:rPr>
          <w:b/>
          <w:color w:val="1F3864"/>
          <w:sz w:val="21"/>
        </w:rPr>
        <w:t xml:space="preserve">Primexis  /  SCOR  /  Mazars</w:t>
      </w:r>
      <w:r>
        <w:rPr>
          <w:color w:val="595959"/>
        </w:rPr>
        <w:t xml:space="preserve">  ·  sept. 1999 – avr. 2013</w:t>
      </w:r>
    </w:p>
    <w:p w14:paraId="25A92EEC" w14:textId="77777777" w:rsidR="004B17F9" w:rsidRDefault="00000000">
      <w:pPr>
        <w:spacing w:after="60"/>
      </w:pPr>
      <w:r>
        <w:rPr>
          <w:b/>
          <w:i/>
          <w:color w:val="2E75B6"/>
        </w:rPr>
        <w:t xml:space="preserve">Début de carrière — audit, consolidation et transformation en assurance</w:t>
      </w:r>
    </w:p>
    <w:p w14:paraId="6679DFC9" w14:textId="77777777" w:rsidR="004B17F9" w:rsidRDefault="00000000">
      <w:pPr>
        <w:pStyle w:val="Listepuces"/>
        <w:spacing w:before="30" w:after="30"/>
        <w:ind w:hanging="180"/>
      </w:pPr>
      <w:r>
        <w:rPr>
          <w:b/>
          <w:color w:val="262626"/>
        </w:rPr>
        <w:t xml:space="preserve">Mazars</w:t>
      </w:r>
      <w:r>
        <w:rPr>
          <w:color w:val="262626"/>
        </w:rPr>
        <w:t xml:space="preserve"> (1999–2004) : manager audit, assurance et réassurance — commissariat aux comptes, contrôle interne, due diligence et revues de provisionnement ; comptabilité propre à l'assurance et provisions techniques.</w:t>
      </w:r>
    </w:p>
    <w:p w14:paraId="6679DFC9" w14:textId="77777777" w:rsidR="004B17F9" w:rsidRDefault="00000000">
      <w:pPr>
        <w:pStyle w:val="Listepuces"/>
        <w:spacing w:before="30" w:after="30"/>
        <w:ind w:hanging="180"/>
      </w:pPr>
      <w:r>
        <w:rPr>
          <w:b/>
          <w:color w:val="262626"/>
        </w:rPr>
        <w:t xml:space="preserve">SCOR</w:t>
      </w:r>
      <w:r>
        <w:rPr>
          <w:color w:val="262626"/>
        </w:rPr>
        <w:t xml:space="preserve"> (2005–2008) : responsable de la consolidation Groupe (IFRS trimestriel, US GAAP annuel) puis chief transformation officer de la fonction investissement — sélection de SimCorp Dimension et appels d'offres ; budget de 3 M€ par an.</w:t>
      </w:r>
    </w:p>
    <w:p w14:paraId="6679DFC9" w14:textId="77777777" w:rsidR="004B17F9" w:rsidRDefault="00000000">
      <w:pPr>
        <w:pStyle w:val="Listepuces"/>
        <w:spacing w:before="30" w:after="30"/>
        <w:ind w:hanging="180"/>
      </w:pPr>
      <w:r>
        <w:rPr>
          <w:b/>
          <w:color w:val="262626"/>
        </w:rPr>
        <w:t xml:space="preserve">Primexis</w:t>
      </w:r>
      <w:r>
        <w:rPr>
          <w:color w:val="262626"/>
        </w:rPr>
        <w:t xml:space="preserve"> (2008–2013) : directeur associé — création de la BU Assurance (20 consultants, 3 M€ de chiffre d'affaires, 10 clients, membre du Comex). En parallèle, chef de projet SimCorp chez SCOR Investment Partners (20 Md€) : automatisation de la transparisation Solvabilité II des OPCVM (sous-jacents, sensibilités, transparisation).</w:t>
      </w:r>
    </w:p>
    <w:p w14:paraId="7A2595E5" w14:textId="77777777" w:rsidR="004B17F9" w:rsidRDefault="00000000">
      <w:pPr>
        <w:shd w:val="clear" w:color="auto" w:fill="2E75B6"/>
        <w:spacing w:before="200" w:after="80"/>
      </w:pPr>
      <w:r>
        <w:rPr>
          <w:b/>
          <w:color w:val="FFFFFF"/>
          <w:sz w:val="22"/>
        </w:rPr>
        <w:t xml:space="preserve">  FORMATION &amp; CERTIFICATIONS</w:t>
      </w:r>
    </w:p>
    <w:p w14:paraId="18DC9178" w14:textId="77777777" w:rsidR="004B17F9" w:rsidRDefault="00000000">
      <w:pPr>
        <w:spacing w:before="50" w:after="50"/>
        <w:ind w:left="180"/>
      </w:pPr>
      <w:r>
        <w:rPr>
          <w:b/>
          <w:color w:val="1F3864"/>
        </w:rPr>
        <w:t xml:space="preserve">ESCP Business School</w:t>
      </w:r>
      <w:r>
        <w:rPr>
          <w:color w:val="262626"/>
        </w:rPr>
        <w:t xml:space="preserve">  —  Programme Grande École — Master in Management  |  Option Finance</w:t>
      </w:r>
      <w:r>
        <w:rPr>
          <w:color w:val="595959"/>
          <w:sz w:val="18"/>
        </w:rPr>
        <w:t xml:space="preserve">  |  1991–1995</w:t>
      </w:r>
    </w:p>
    <w:p w14:paraId="18DC9178" w14:textId="77777777" w:rsidR="004B17F9" w:rsidRDefault="00000000">
      <w:pPr>
        <w:spacing w:before="50" w:after="50"/>
        <w:ind w:left="180"/>
      </w:pPr>
      <w:r>
        <w:rPr>
          <w:b/>
          <w:color w:val="1F3864"/>
        </w:rPr>
        <w:t xml:space="preserve">Centre d'Études Actuarielles, Paris</w:t>
      </w:r>
      <w:r>
        <w:rPr>
          <w:color w:val="262626"/>
        </w:rPr>
        <w:t xml:space="preserve">  —  ensemble des épreuves validées</w:t>
      </w:r>
      <w:r>
        <w:rPr>
          <w:color w:val="595959"/>
          <w:sz w:val="18"/>
        </w:rPr>
        <w:t xml:space="preserve">  |  2002–2004</w:t>
      </w:r>
    </w:p>
    <w:p w14:paraId="18DC9178" w14:textId="77777777" w:rsidR="004B17F9" w:rsidRDefault="00000000">
      <w:pPr>
        <w:spacing w:before="50" w:after="50"/>
        <w:ind w:left="180"/>
      </w:pPr>
      <w:r>
        <w:rPr>
          <w:b/>
          <w:color w:val="1F3864"/>
        </w:rPr>
        <w:t xml:space="preserve">ENOES — École de l'Expertise Comptable</w:t>
      </w:r>
      <w:r>
        <w:rPr>
          <w:color w:val="262626"/>
        </w:rPr>
        <w:t xml:space="preserve">  —  D.E.C.F.</w:t>
      </w:r>
      <w:r>
        <w:rPr>
          <w:color w:val="595959"/>
          <w:sz w:val="18"/>
        </w:rPr>
        <w:t xml:space="preserve">  |  2001</w:t>
      </w:r>
    </w:p>
    <w:p w14:paraId="18DC9178" w14:textId="77777777" w:rsidR="004B17F9" w:rsidRDefault="00000000">
      <w:pPr>
        <w:spacing w:before="50" w:after="50"/>
        <w:ind w:left="180"/>
      </w:pPr>
      <w:r>
        <w:rPr>
          <w:b/>
          <w:color w:val="1F3864"/>
        </w:rPr>
        <w:t xml:space="preserve">Université Paris Dauphine – PSL</w:t>
      </w:r>
      <w:r>
        <w:rPr>
          <w:color w:val="262626"/>
        </w:rPr>
        <w:t xml:space="preserve">  —  DEA de macroéconomie</w:t>
      </w:r>
      <w:r>
        <w:rPr>
          <w:color w:val="595959"/>
          <w:sz w:val="18"/>
        </w:rPr>
        <w:t xml:space="preserve">  |  1995–1996</w:t>
      </w:r>
    </w:p>
    <w:p w14:paraId="18DC9178" w14:textId="77777777" w:rsidR="004B17F9" w:rsidRDefault="00000000">
      <w:pPr>
        <w:spacing w:before="50" w:after="50"/>
        <w:ind w:left="180"/>
      </w:pPr>
      <w:r>
        <w:rPr>
          <w:b/>
          <w:color w:val="1F3864"/>
        </w:rPr>
        <w:t xml:space="preserve">Project Management Institute</w:t>
      </w:r>
      <w:r>
        <w:rPr>
          <w:color w:val="262626"/>
        </w:rPr>
        <w:t xml:space="preserve">  —  PMP® — Project Management Professional (certification active)</w:t>
      </w:r>
    </w:p>
    <w:p w14:paraId="18DC9178" w14:textId="77777777" w:rsidR="004B17F9" w:rsidRDefault="00000000">
      <w:pPr>
        <w:spacing w:before="50" w:after="50"/>
        <w:ind w:left="180"/>
      </w:pPr>
      <w:r>
        <w:rPr>
          <w:b/>
          <w:color w:val="1F3864"/>
        </w:rPr>
        <w:t xml:space="preserve">Certifications</w:t>
      </w:r>
      <w:r>
        <w:rPr>
          <w:color w:val="262626"/>
        </w:rPr>
        <w:t xml:space="preserve">  —  Generative AI Primer  |  GenAI for Account Executives</w:t>
      </w:r>
    </w:p>
    <w:p w14:paraId="7A2595E5" w14:textId="77777777" w:rsidR="004B17F9" w:rsidRDefault="00000000">
      <w:pPr>
        <w:shd w:val="clear" w:color="auto" w:fill="2E75B6"/>
        <w:spacing w:before="200" w:after="80"/>
      </w:pPr>
      <w:r>
        <w:rPr>
          <w:b/>
          <w:color w:val="FFFFFF"/>
          <w:sz w:val="22"/>
        </w:rPr>
        <w:t xml:space="preserve">  LANGUES &amp; DISPONIBILITÉ</w:t>
      </w:r>
    </w:p>
    <w:p w14:paraId="53A268A1" w14:textId="14EA7854" w:rsidR="004B17F9" w:rsidRDefault="00000000">
      <w:pPr>
        <w:spacing w:before="80" w:after="80"/>
        <w:ind w:left="180"/>
      </w:pPr>
      <w:r>
        <w:rPr>
          <w:color w:val="262626"/>
        </w:rPr>
        <w:t xml:space="preserve">Français : langue maternelle  |  Anglais : courant professionnel (C1/C2)</w:t>
      </w:r>
    </w:p>
    <w:p w14:paraId="1894C494" w14:textId="77777777" w:rsidR="004B17F9" w:rsidRDefault="00000000">
      <w:pPr>
        <w:spacing w:after="80"/>
        <w:ind w:left="180"/>
      </w:pPr>
      <w:r>
        <w:rPr>
          <w:color w:val="262626"/>
        </w:rPr>
        <w:t xml:space="preserve">Disponible immédiatement  |  Hybride, Paris / Île-de-France  |  Europe : Royaume-Uni, Irlande, Benelux, Suisse</w:t>
      </w:r>
    </w:p>
    <w:sectPr w:rsidR="004B17F9"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B237075"/>
    <w:multiLevelType w:val="hybridMultilevel"/>
    <w:tmpl w:val="2EB66DBC"/>
    <w:lvl w:ilvl="0" w:tplc="040C0001">
      <w:start w:val="1"/>
      <w:numFmt w:val="bullet"/>
      <w:lvlText w:val=""/>
      <w:lvlJc w:val="left"/>
      <w:pPr>
        <w:ind w:left="840" w:hanging="360"/>
      </w:pPr>
      <w:rPr>
        <w:rFonts w:ascii="Symbol" w:hAnsi="Symbol" w:hint="default"/>
      </w:rPr>
    </w:lvl>
    <w:lvl w:ilvl="1" w:tplc="040C0003" w:tentative="1">
      <w:start w:val="1"/>
      <w:numFmt w:val="bullet"/>
      <w:lvlText w:val="o"/>
      <w:lvlJc w:val="left"/>
      <w:pPr>
        <w:ind w:left="1560" w:hanging="360"/>
      </w:pPr>
      <w:rPr>
        <w:rFonts w:ascii="Courier New" w:hAnsi="Courier New" w:hint="default"/>
      </w:rPr>
    </w:lvl>
    <w:lvl w:ilvl="2" w:tplc="040C0005" w:tentative="1">
      <w:start w:val="1"/>
      <w:numFmt w:val="bullet"/>
      <w:lvlText w:val=""/>
      <w:lvlJc w:val="left"/>
      <w:pPr>
        <w:ind w:left="2280" w:hanging="360"/>
      </w:pPr>
      <w:rPr>
        <w:rFonts w:ascii="Wingdings" w:hAnsi="Wingdings" w:hint="default"/>
      </w:rPr>
    </w:lvl>
    <w:lvl w:ilvl="3" w:tplc="040C0001" w:tentative="1">
      <w:start w:val="1"/>
      <w:numFmt w:val="bullet"/>
      <w:lvlText w:val=""/>
      <w:lvlJc w:val="left"/>
      <w:pPr>
        <w:ind w:left="3000" w:hanging="360"/>
      </w:pPr>
      <w:rPr>
        <w:rFonts w:ascii="Symbol" w:hAnsi="Symbol" w:hint="default"/>
      </w:rPr>
    </w:lvl>
    <w:lvl w:ilvl="4" w:tplc="040C0003" w:tentative="1">
      <w:start w:val="1"/>
      <w:numFmt w:val="bullet"/>
      <w:lvlText w:val="o"/>
      <w:lvlJc w:val="left"/>
      <w:pPr>
        <w:ind w:left="3720" w:hanging="360"/>
      </w:pPr>
      <w:rPr>
        <w:rFonts w:ascii="Courier New" w:hAnsi="Courier New" w:hint="default"/>
      </w:rPr>
    </w:lvl>
    <w:lvl w:ilvl="5" w:tplc="040C0005" w:tentative="1">
      <w:start w:val="1"/>
      <w:numFmt w:val="bullet"/>
      <w:lvlText w:val=""/>
      <w:lvlJc w:val="left"/>
      <w:pPr>
        <w:ind w:left="4440" w:hanging="360"/>
      </w:pPr>
      <w:rPr>
        <w:rFonts w:ascii="Wingdings" w:hAnsi="Wingdings" w:hint="default"/>
      </w:rPr>
    </w:lvl>
    <w:lvl w:ilvl="6" w:tplc="040C0001" w:tentative="1">
      <w:start w:val="1"/>
      <w:numFmt w:val="bullet"/>
      <w:lvlText w:val=""/>
      <w:lvlJc w:val="left"/>
      <w:pPr>
        <w:ind w:left="5160" w:hanging="360"/>
      </w:pPr>
      <w:rPr>
        <w:rFonts w:ascii="Symbol" w:hAnsi="Symbol" w:hint="default"/>
      </w:rPr>
    </w:lvl>
    <w:lvl w:ilvl="7" w:tplc="040C0003" w:tentative="1">
      <w:start w:val="1"/>
      <w:numFmt w:val="bullet"/>
      <w:lvlText w:val="o"/>
      <w:lvlJc w:val="left"/>
      <w:pPr>
        <w:ind w:left="5880" w:hanging="360"/>
      </w:pPr>
      <w:rPr>
        <w:rFonts w:ascii="Courier New" w:hAnsi="Courier New" w:hint="default"/>
      </w:rPr>
    </w:lvl>
    <w:lvl w:ilvl="8" w:tplc="040C0005" w:tentative="1">
      <w:start w:val="1"/>
      <w:numFmt w:val="bullet"/>
      <w:lvlText w:val=""/>
      <w:lvlJc w:val="left"/>
      <w:pPr>
        <w:ind w:left="6600" w:hanging="360"/>
      </w:pPr>
      <w:rPr>
        <w:rFonts w:ascii="Wingdings" w:hAnsi="Wingdings" w:hint="default"/>
      </w:rPr>
    </w:lvl>
  </w:abstractNum>
  <w:abstractNum w:abstractNumId="10" w15:restartNumberingAfterBreak="0">
    <w:nsid w:val="79947A5E"/>
    <w:multiLevelType w:val="hybridMultilevel"/>
    <w:tmpl w:val="705CEEE4"/>
    <w:lvl w:ilvl="0" w:tplc="040C0001">
      <w:start w:val="1"/>
      <w:numFmt w:val="bullet"/>
      <w:lvlText w:val=""/>
      <w:lvlJc w:val="left"/>
      <w:pPr>
        <w:ind w:left="900" w:hanging="360"/>
      </w:pPr>
      <w:rPr>
        <w:rFonts w:ascii="Symbol" w:hAnsi="Symbol" w:hint="default"/>
      </w:rPr>
    </w:lvl>
    <w:lvl w:ilvl="1" w:tplc="040C0003" w:tentative="1">
      <w:start w:val="1"/>
      <w:numFmt w:val="bullet"/>
      <w:lvlText w:val="o"/>
      <w:lvlJc w:val="left"/>
      <w:pPr>
        <w:ind w:left="1620" w:hanging="360"/>
      </w:pPr>
      <w:rPr>
        <w:rFonts w:ascii="Courier New" w:hAnsi="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hint="default"/>
      </w:rPr>
    </w:lvl>
    <w:lvl w:ilvl="8" w:tplc="040C0005" w:tentative="1">
      <w:start w:val="1"/>
      <w:numFmt w:val="bullet"/>
      <w:lvlText w:val=""/>
      <w:lvlJc w:val="left"/>
      <w:pPr>
        <w:ind w:left="6660" w:hanging="360"/>
      </w:pPr>
      <w:rPr>
        <w:rFonts w:ascii="Wingdings" w:hAnsi="Wingdings" w:hint="default"/>
      </w:rPr>
    </w:lvl>
  </w:abstractNum>
  <w:num w:numId="1" w16cid:durableId="1319575198">
    <w:abstractNumId w:val="8"/>
  </w:num>
  <w:num w:numId="2" w16cid:durableId="829560583">
    <w:abstractNumId w:val="6"/>
  </w:num>
  <w:num w:numId="3" w16cid:durableId="1552499846">
    <w:abstractNumId w:val="5"/>
  </w:num>
  <w:num w:numId="4" w16cid:durableId="1850682786">
    <w:abstractNumId w:val="4"/>
  </w:num>
  <w:num w:numId="5" w16cid:durableId="897589947">
    <w:abstractNumId w:val="7"/>
  </w:num>
  <w:num w:numId="6" w16cid:durableId="1005205406">
    <w:abstractNumId w:val="3"/>
  </w:num>
  <w:num w:numId="7" w16cid:durableId="1757703315">
    <w:abstractNumId w:val="2"/>
  </w:num>
  <w:num w:numId="8" w16cid:durableId="1139685493">
    <w:abstractNumId w:val="1"/>
  </w:num>
  <w:num w:numId="9" w16cid:durableId="233243014">
    <w:abstractNumId w:val="0"/>
  </w:num>
  <w:num w:numId="10" w16cid:durableId="321861825">
    <w:abstractNumId w:val="9"/>
  </w:num>
  <w:num w:numId="11" w16cid:durableId="269555882">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741E"/>
    <w:rsid w:val="0015074B"/>
    <w:rsid w:val="00182ED7"/>
    <w:rsid w:val="0029639D"/>
    <w:rsid w:val="002D3B92"/>
    <w:rsid w:val="00326F90"/>
    <w:rsid w:val="0044507F"/>
    <w:rsid w:val="004B17F9"/>
    <w:rsid w:val="00791555"/>
    <w:rsid w:val="00AA1D8D"/>
    <w:rsid w:val="00B47730"/>
    <w:rsid w:val="00CB0664"/>
    <w:rsid w:val="00CF0009"/>
    <w:rsid w:val="00E97B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FFE5A"/>
  <w14:defaultImageDpi w14:val="300"/>
  <w15:docId w15:val="{41C14C36-5BC1-D948-B300-F6256751A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1595</Words>
  <Characters>10358</Characters>
  <Application>Microsoft Office Word</Application>
  <DocSecurity>0</DocSecurity>
  <Lines>152</Lines>
  <Paragraphs>92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Xavier Robitaille</dc:title>
  <dc:subject/>
  <dc:creator>Xavier Robitaille</dc:creator>
  <cp:keywords/>
  <dc:description>generated by python-docx</dc:description>
  <cp:lastModifiedBy>Xavier Robitaille</cp:lastModifiedBy>
  <cp:revision>2</cp:revision>
  <dcterms:created xsi:type="dcterms:W3CDTF">2026-09-27T22:16:00Z</dcterms:created>
  <dcterms:modified xsi:type="dcterms:W3CDTF">2026-09-27T22:16:00Z</dcterms:modified>
  <cp:category/>
</cp:coreProperties>
</file>