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 xml:space="preserve"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Senior Finance Transformation Consultant  |  PMO &amp; Programme Delivery  |  Interim Finance Management</w:t>
      </w:r>
      <w:r>
        <w:rPr>
          <w:color w:val="D6E4F0"/>
        </w:rPr>
        <w:br/>
      </w:r>
      <w:r>
        <w:rPr>
          <w:color w:val="D6E4F0"/>
        </w:rPr>
        <w:t xml:space="preserve">Insurance, Reinsurance &amp; Asset Management — CFO Office, Closing &amp; Regulatory Reporting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Paris, hybrid - available now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C53F755" w14:textId="77777777" w:rsidR="0013741E" w:rsidRPr="0013741E" w:rsidRDefault="0013741E" w:rsidP="0013741E">
      <w:pPr>
        <w:rPr>
          <w:sz w:val="2"/>
          <w:szCs w:val="6"/>
        </w:rPr>
      </w:pPr>
    </w:p>
    <w:p w14:paraId="628F860E" w14:textId="7BC193E7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 xml:space="preserve">EXECUTIVE SUMMARY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Senior finance transformation consultant and programme director with 25+ years in insurance, reinsurance and asset management, combining </w:t>
      </w:r>
      <w:r>
        <w:rPr>
          <w:b/>
          <w:bCs/>
          <w:color w:val="262626"/>
        </w:rPr>
        <w:t xml:space="preserve">technical accounting depth</w:t>
      </w:r>
      <w:r>
        <w:rPr>
          <w:color w:val="262626"/>
        </w:rPr>
        <w:t xml:space="preserve">, </w:t>
      </w:r>
      <w:r>
        <w:rPr>
          <w:b/>
          <w:bCs/>
          <w:color w:val="262626"/>
        </w:rPr>
        <w:t xml:space="preserve">PMO discipline</w:t>
      </w:r>
      <w:r>
        <w:rPr>
          <w:color w:val="262626"/>
        </w:rPr>
        <w:t xml:space="preserve"> and hands-on </w:t>
      </w:r>
      <w:r>
        <w:rPr>
          <w:b/>
          <w:bCs/>
          <w:color w:val="262626"/>
        </w:rPr>
        <w:t xml:space="preserve">go-live delivery</w:t>
      </w:r>
      <w:r>
        <w:rPr>
          <w:color w:val="262626"/>
        </w:rPr>
        <w:t xml:space="preserve">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Core expertise: </w:t>
      </w:r>
      <w:r>
        <w:rPr>
          <w:b/>
          <w:bCs/>
          <w:color w:val="262626"/>
        </w:rPr>
        <w:t xml:space="preserve">IFRS 9 / IFRS 17 / Solvency II</w:t>
      </w:r>
      <w:r>
        <w:rPr>
          <w:color w:val="262626"/>
        </w:rPr>
        <w:t xml:space="preserve"> implementation, </w:t>
      </w:r>
      <w:r>
        <w:rPr>
          <w:b/>
          <w:bCs/>
          <w:color w:val="262626"/>
        </w:rPr>
        <w:t xml:space="preserve">Record-to-Report (R2R)</w:t>
      </w:r>
      <w:r>
        <w:rPr>
          <w:color w:val="262626"/>
        </w:rPr>
        <w:t xml:space="preserve"> redesign, finance operating model, </w:t>
      </w:r>
      <w:r>
        <w:rPr>
          <w:b/>
          <w:bCs/>
          <w:color w:val="262626"/>
        </w:rPr>
        <w:t xml:space="preserve">closing optimisation</w:t>
      </w:r>
      <w:r>
        <w:rPr>
          <w:color w:val="262626"/>
        </w:rPr>
        <w:t xml:space="preserve"> (D+4→D+2, D+5→D+3), regulatory reporting automation, programme governance at CFO, COO and CIO level.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Typical engagements: </w:t>
      </w:r>
      <w:r>
        <w:rPr>
          <w:b/>
          <w:bCs/>
          <w:color w:val="262626"/>
        </w:rPr>
        <w:t xml:space="preserve">programme and PMO leadership</w:t>
      </w:r>
      <w:r>
        <w:rPr>
          <w:color w:val="262626"/>
        </w:rPr>
        <w:t xml:space="preserve">, interim finance management, target operating model design, SaaS and ERP finance platform implementation (Clearwater Analytics, SimCorp Dimension, SAP S/4HANA), process automation and </w:t>
      </w:r>
      <w:r>
        <w:rPr>
          <w:b/>
          <w:bCs/>
          <w:color w:val="262626"/>
        </w:rPr>
        <w:t xml:space="preserve">AI-driven controls</w:t>
      </w:r>
      <w:r>
        <w:rPr>
          <w:color w:val="262626"/>
        </w:rPr>
        <w:t xml:space="preserve">, data migration and UAT.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b/>
          <w:bCs/>
          <w:color w:val="262626"/>
        </w:rPr>
        <w:t xml:space="preserve">Fully bilingual EN/FR</w:t>
      </w:r>
      <w:r>
        <w:rPr>
          <w:color w:val="262626"/>
        </w:rPr>
        <w:t xml:space="preserve">. Based in Paris; hybrid engagements in France and Europe.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TRANSFORMATION TRACK RECORD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Programme delivery</w:t>
      </w:r>
      <w:r>
        <w:rPr>
          <w:color w:val="262626"/>
        </w:rPr>
        <w:t xml:space="preserve">  —  Clearwater Analytics (several SaaS implementations run in parallel, monthly C-suite sponsor committees, Monday.com as single source of truth); SimCorp Dimension at SCOR Investment Partners (12-person team) and CNP Assurances (Lead Business Owner, ~€350bn AUM)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Closing &amp; R2R</w:t>
      </w:r>
      <w:r>
        <w:rPr>
          <w:color w:val="262626"/>
        </w:rPr>
        <w:t xml:space="preserve">  —  D+4 → D+2 through STP architecture (Clearwater); D+5 → D+3 through SAP S/4HANA and SAP→SAP BFC automation (Coface); Fast Close (CNP Assurances)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Regulatory transformation</w:t>
      </w:r>
      <w:r>
        <w:rPr>
          <w:color w:val="262626"/>
        </w:rPr>
        <w:t xml:space="preserve">  —  IFRS 9 at Coface, rolled out in stages over four years (POCs, ECL methodology, accounting schemes, UAT, custodian coordination); combined IFRS 9 / IFRS 17 / Solvency II at AXA XL (PAA eligibility, dry-run close, target operating model)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Automation &amp; AI</w:t>
      </w:r>
      <w:r>
        <w:rPr>
          <w:color w:val="262626"/>
        </w:rPr>
        <w:t xml:space="preserve">  —  AI-driven controls and tripartite reconciliation (Clearwater); Power Query, VBA and SAP FC Publisher automation (Coface); shared investment data platform in SAS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Team &amp; practice leadership</w:t>
      </w:r>
      <w:r>
        <w:rPr>
          <w:color w:val="262626"/>
        </w:rPr>
        <w:t xml:space="preserve">  —  built a 20-consultant Insurance practice (Primexis: 10 clients, €3m revenue, Executive Committee); project teams of 10–15 (SCOR, Clearwater); team of 16 (Coface)</w:t>
      </w:r>
    </w:p>
    <w:p w14:paraId="44172433" w14:textId="2D0CC68C" w:rsidR="004B17F9" w:rsidRPr="0013741E" w:rsidRDefault="00000000" w:rsidP="00791555">
      <w:pPr>
        <w:spacing w:before="60" w:after="60"/>
        <w:ind w:left="120" w:right="120"/>
        <w:rPr>
          <w:color w:val="FFFFFF" w:themeColor="background1"/>
          <w:sz w:val="4"/>
          <w:szCs w:val="4"/>
        </w:rPr>
      </w:pPr>
      <w:r>
        <w:rPr>
          <w:color w:val="FFFFFF" w:themeColor="background1"/>
          <w:sz w:val="4"/>
          <w:szCs w:val="4"/>
        </w:rPr>
        <w:t xml:space="preserve">Finance Transformation  |  Interim Finance Management  |  PMO  |  CFO Office  |  Programme Delivery  |  Programme Director  |  IFRS 9  |  IFRS 17  |  Solvency II  |  Investment Accounting  |  Record to Report (R2R)  |  Process Automation  |  Process Optimisation  |  Intelligent Automation  |  Tech-Enabled Transformation  |  Target Operating Model  |  Closing Optimisation  |  Fast Close  |  Regulatory Reporting  |  SaaS / Cloud Finance Platforms  |  Data Management  |  Data Governance  |  UAT Management  |  Data Migration  |  Go-live Support  |  Change Management  |  Governance  |  Steering Committee  |  RAID  |  Monday.com  |  SimCorp Dimension  |  Clearwater Analytics  |  SAP S/4HANA  |  SAP BFC  |  Bloomberg  |  Power BI  |  SAS  |  AI-Driven Controls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Clearwater Analytics</w:t>
      </w:r>
      <w:r>
        <w:rPr>
          <w:color w:val="595959"/>
        </w:rPr>
        <w:t xml:space="preserve">  ·  Nov 2024 – June 2026  (20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Senior Programme Manager — Cloud-Native Investment Platform &amp; Finance Automation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 xml:space="preserve"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 xml:space="preserve"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system (second Chorus replacement after SCOR IP, 2008–2012).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Ran </w:t>
      </w:r>
      <w:r>
        <w:rPr>
          <w:b/>
          <w:color w:val="262626"/>
        </w:rPr>
        <w:t xml:space="preserve">several implementations in parallel</w:t>
      </w:r>
      <w:r>
        <w:rPr>
          <w:color w:val="262626"/>
        </w:rPr>
        <w:t xml:space="preserve"> (incl. a Luxembourg investment holding), with consolidated tracking of deliverables, milestones and resources in a dedicated tool (</w:t>
      </w:r>
      <w:r>
        <w:rPr>
          <w:b/>
          <w:color w:val="262626"/>
        </w:rPr>
        <w:t xml:space="preserve">Monday.com</w:t>
      </w:r>
      <w:r>
        <w:rPr>
          <w:color w:val="262626"/>
        </w:rPr>
        <w:t xml:space="preserve">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full </w:t>
      </w:r>
      <w:r>
        <w:rPr>
          <w:b/>
          <w:color w:val="262626"/>
        </w:rPr>
        <w:t xml:space="preserve">straight-through processing (STP)</w:t>
      </w:r>
      <w:r>
        <w:rPr>
          <w:color w:val="262626"/>
        </w:rPr>
        <w:t xml:space="preserve"> across the value chain: order management → accounting → Solvency II reporting, with no manual re-entry between FO, MO, BO and IT.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 xml:space="preserve"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 xml:space="preserve"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Implemented </w:t>
      </w:r>
      <w:r>
        <w:rPr>
          <w:b/>
          <w:color w:val="262626"/>
        </w:rPr>
        <w:t xml:space="preserve">AI-powered control framework</w:t>
      </w:r>
      <w:r>
        <w:rPr>
          <w:color w:val="262626"/>
        </w:rPr>
        <w:t xml:space="preserve">: price-variation monitoring, input reception controls, and AI-driven automated processing of closed-end fund instructions (capital calls, monthly NAV valuations).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 xml:space="preserve">D+4 to D+2</w:t>
      </w:r>
      <w:r>
        <w:rPr>
          <w:color w:val="262626"/>
        </w:rPr>
        <w:t xml:space="preserve"> through end-to-end process automation and STP architecture.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Multi-module implementation (CW CORE, OMS/Jump, LPx); integrations to Bloomberg TSOX and Data License, CODA (GL), Solvency II reporting.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Program governance and client stakeholder management: bilingual EN/FR C-suite Sponsor Committees (monthly), RAID log (10+ critical risks); steered OMS go-live (Dec 2025) and CORE go-live (Apr 2026).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Group Head of Investment Accounting  /  IFRS 9 Project Manager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Group Head of Investment Accounting  (Jan 2023 – Oct 2024)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 xml:space="preserve"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 xml:space="preserve">~20 international entities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 xml:space="preserve">Record-to-Report process</w:t>
      </w:r>
      <w:r>
        <w:rPr>
          <w:color w:val="262626"/>
        </w:rPr>
        <w:t xml:space="preserve">: </w:t>
      </w:r>
      <w:r>
        <w:rPr>
          <w:b/>
          <w:color w:val="262626"/>
        </w:rPr>
        <w:t xml:space="preserve">Power Query</w:t>
      </w:r>
      <w:r>
        <w:rPr>
          <w:color w:val="262626"/>
        </w:rPr>
        <w:t xml:space="preserve"> workflows for monthly CACEIS data (accounting/management and SAP/CACEIS reconciliation, FX, price-variation controls); </w:t>
      </w:r>
      <w:r>
        <w:rPr>
          <w:b/>
          <w:color w:val="262626"/>
        </w:rPr>
        <w:t xml:space="preserve">VBA macros</w:t>
      </w:r>
      <w:r>
        <w:rPr>
          <w:color w:val="262626"/>
        </w:rPr>
        <w:t xml:space="preserve"> for GP3→SAP conversion; </w:t>
      </w:r>
      <w:r>
        <w:rPr>
          <w:b/>
          <w:color w:val="262626"/>
        </w:rPr>
        <w:t xml:space="preserve">SAP FC Publisher</w:t>
      </w:r>
      <w:r>
        <w:rPr>
          <w:color w:val="262626"/>
        </w:rPr>
        <w:t xml:space="preserve"> automation for BFC consolidation.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SAP S/4HANA investment interfaces and the SAP→SAP BFC chain, cutting closing from </w:t>
      </w:r>
      <w:r>
        <w:rPr>
          <w:b/>
          <w:color w:val="262626"/>
        </w:rPr>
        <w:t xml:space="preserve">D+5 to D+3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 xml:space="preserve">Power BI</w:t>
      </w:r>
      <w:r>
        <w:rPr>
          <w:color w:val="262626"/>
        </w:rPr>
        <w:t xml:space="preserve"> investment dashboard for CXO-level reporting.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IFRS 9 Project Manager  (Jan 2020 – Dec 2022)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Finance workstreams of the IFRS 9 project, </w:t>
      </w:r>
      <w:r>
        <w:rPr>
          <w:b/>
          <w:color w:val="262626"/>
        </w:rPr>
        <w:t xml:space="preserve">rolled out in stages over four years</w:t>
      </w:r>
      <w:r>
        <w:rPr>
          <w:color w:val="262626"/>
        </w:rPr>
        <w:t xml:space="preserve">: successive POCs, ECL methodology, accounting schemes, UAT, coordination with the custodian CACEIS.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 xml:space="preserve">ECL (Expected Credit Loss) model</w:t>
      </w:r>
      <w:r>
        <w:rPr>
          <w:color w:val="262626"/>
        </w:rPr>
        <w:t xml:space="preserve"> end-to-end (external risk matrices), implemented in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, Finance as sole model owner; monthly variance analysis; UAT and proof-of-concept.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Validated IFRS 9 transition accounting schemes; redesigned the close calendar; automated controls.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First assignment  (May 2017 – May 2018)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Accounting: investment accounting production, regulatory reporting, operating model.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 shared </w:t>
      </w:r>
      <w:r>
        <w:rPr>
          <w:b/>
          <w:color w:val="262626"/>
        </w:rPr>
        <w:t xml:space="preserve">investment data platform in SAS</w:t>
      </w:r>
      <w:r>
        <w:rPr>
          <w:color w:val="262626"/>
        </w:rPr>
        <w:t xml:space="preserve"> (sourcing, data model, quality controls, governance, management reporting), backbone of the 2020 IFRS 9 ECL model.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AXA XL  —  P&amp;C Finance</w:t>
      </w:r>
      <w:r>
        <w:rPr>
          <w:color w:val="595959"/>
        </w:rPr>
        <w:t xml:space="preserve">  ·  May 2018 – Jul 2019  (15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Finance Stream Leader — IFRS 9 / IFRS 17 / Solvency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Finance impact assessment and implementation workstreams for a combined </w:t>
      </w:r>
      <w:r>
        <w:rPr>
          <w:b/>
          <w:color w:val="262626"/>
        </w:rPr>
        <w:t xml:space="preserve">IFRS 9, IFRS 17 and Solvency II</w:t>
      </w:r>
      <w:r>
        <w:rPr>
          <w:color w:val="262626"/>
        </w:rPr>
        <w:t xml:space="preserve"> transformation within an AXA P&amp;C entity.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 xml:space="preserve">PAA eligibility</w:t>
      </w:r>
      <w:r>
        <w:rPr>
          <w:color w:val="262626"/>
        </w:rPr>
        <w:t xml:space="preserve"> across all contract families (coverage ≤ 1 year); delivered an IFRS 17 </w:t>
      </w:r>
      <w:r>
        <w:rPr>
          <w:b/>
          <w:color w:val="262626"/>
        </w:rPr>
        <w:t xml:space="preserve">dry-run close</w:t>
      </w:r>
      <w:r>
        <w:rPr>
          <w:color w:val="262626"/>
        </w:rPr>
        <w:t xml:space="preserve"> at 31 Dec 2017 on a SAS-based internal model (derived from the AXA Group model): </w:t>
      </w:r>
      <w:r>
        <w:rPr>
          <w:b/>
          <w:color w:val="262626"/>
        </w:rPr>
        <w:t xml:space="preserve">~€25m equity transition adjustment</w:t>
      </w:r>
      <w:r>
        <w:rPr>
          <w:color w:val="262626"/>
        </w:rPr>
        <w:t xml:space="preserve"> and ~1.5 pt combined ratio variance quantified across 8 lines of business.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Defined the </w:t>
      </w:r>
      <w:r>
        <w:rPr>
          <w:b/>
          <w:color w:val="262626"/>
        </w:rPr>
        <w:t xml:space="preserve">Target Operating Model</w:t>
      </w:r>
      <w:r>
        <w:rPr>
          <w:color w:val="262626"/>
        </w:rPr>
        <w:t xml:space="preserve">: organisation, processes, accounting tools and reporting architecture under the new standards.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Supervised the Solvency II deliverables — QRT reporting (Invoke), contributions to ORSA, RSR and SFCR; co-led steering committees with Finance, Actuarial, Risk, Reinsurance, IT and external audit.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CNP Assurances</w:t>
      </w:r>
      <w:r>
        <w:rPr>
          <w:color w:val="595959"/>
        </w:rPr>
        <w:t xml:space="preserve">  ·  2013 – 2017  (4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Lead Business Owner — SimCorp Dimension  /  Head of Financial Production &amp; Solvency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 xml:space="preserve">~€350bn in investment assets</w:t>
      </w:r>
      <w:r>
        <w:rPr>
          <w:color w:val="262626"/>
        </w:rPr>
        <w:t xml:space="preserve">, one of Europe's largest SimCorp implementations, covering the full ABOR and Solvency II chain.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Drove the entire business workstream: requirement workshops, functional design, multi-GAAP accounting rules and postings, controls, Solvency II reporting, testing, data migration and go-live readiness.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team; enhanced the </w:t>
      </w:r>
      <w:r>
        <w:rPr>
          <w:b/>
          <w:color w:val="262626"/>
        </w:rPr>
        <w:t xml:space="preserve">P&amp;L Forecast model</w:t>
      </w:r>
      <w:r>
        <w:rPr>
          <w:color w:val="262626"/>
        </w:rPr>
        <w:t xml:space="preserve"> (bond reinvestment, inflation-linked bonds, equities, private equity, real estate); roadmap from </w:t>
      </w:r>
      <w:r>
        <w:rPr>
          <w:b/>
          <w:color w:val="262626"/>
        </w:rPr>
        <w:t xml:space="preserve">Access</w:t>
      </w:r>
      <w:r>
        <w:rPr>
          <w:color w:val="262626"/>
        </w:rPr>
        <w:t xml:space="preserve"> to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 and </w:t>
      </w:r>
      <w:r>
        <w:rPr>
          <w:b/>
          <w:color w:val="262626"/>
        </w:rPr>
        <w:t xml:space="preserve">QlikView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ABOR SME for the Fast Close initiative: cut-off, unit-linked portfolios, accounting/management reconciliation.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Primexis</w:t>
      </w:r>
      <w:r>
        <w:rPr>
          <w:color w:val="595959"/>
        </w:rPr>
        <w:t xml:space="preserve">  ·  Oct 2008 – Apr 2013  (4.5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Associate Director — Insurance Practice  /  SimCorp PM at SCOR Investment Partners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Concurrent SimCorp Dimension Project Manager at SCOR Investment Partners (Nov 2008 – May 2012, 3.5 years): led migration from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 xml:space="preserve">€20bn AUM</w:t>
      </w:r>
      <w:r>
        <w:rPr>
          <w:color w:val="262626"/>
        </w:rPr>
        <w:t xml:space="preserve">, 12-person team; Bloomberg FO fully integrated.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 xml:space="preserve">look-through automation</w:t>
      </w:r>
      <w:r>
        <w:rPr>
          <w:color w:val="262626"/>
        </w:rPr>
        <w:t xml:space="preserve">: underlying asset consolidation, sensitivities and Solvency II transparisation, replacing manual restatements.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Managed US portfolio migration including structured products; defined AMF-compliant investment reporting and branch restructuring for foreign subsidiaries.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 xml:space="preserve"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 xml:space="preserve">€3m annual revenue</w:t>
      </w:r>
      <w:r>
        <w:rPr>
          <w:color w:val="262626"/>
        </w:rPr>
        <w:t xml:space="preserve"> across 10 clients; Executive Committee member; led all insurance RFI/RFP responses (scoping, estimates, pricing).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SCOR  —  Investment Department</w:t>
      </w:r>
      <w:r>
        <w:rPr>
          <w:color w:val="595959"/>
        </w:rPr>
        <w:t xml:space="preserve">  ·  Oct 2005 – Sep 2008  (3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Transformation Projects  /  Head of Group Consolidation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As chief transformation officer of the investment function, turned SCOR's investment department into a standalone AM structure, replacing </w:t>
      </w:r>
      <w:r>
        <w:rPr>
          <w:b/>
          <w:color w:val="262626"/>
        </w:rPr>
        <w:t xml:space="preserve">Bloomberg (FO) + Linedata Chorus (MO/BO/accounting)</w:t>
      </w:r>
      <w:r>
        <w:rPr>
          <w:color w:val="262626"/>
        </w:rPr>
        <w:t xml:space="preserve"> with an integrated front-to-accounting platform.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solution scoping and RFI/RFP for the investment platform and performance attribution tool; managed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 xml:space="preserve">€3m/year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Group Consolidation &amp; Accounting Standards (Oct 2005 – Jul 2006): quarterly IFRS and annual US GAAP consolidated reporting; Group accounting policy definition; team of 5.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Group Finance</w:t>
      </w:r>
      <w:r>
        <w:rPr>
          <w:color w:val="595959"/>
        </w:rPr>
        <w:t xml:space="preserve">  ·  May 2004 – Oct 2005  (18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Technical Accounting and Reserving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 xml:space="preserve">Bornhuetter-Ferguson stochastic reserving methodology</w:t>
      </w:r>
      <w:r>
        <w:rPr>
          <w:color w:val="262626"/>
        </w:rPr>
        <w:t xml:space="preserve"> — replacing manual estimation; accelerated close process.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Investment accounting, technical insurance accounting; intercompany reconciliations; Group Finance coordination; team of 16.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Mazars</w:t>
      </w:r>
      <w:r>
        <w:rPr>
          <w:color w:val="595959"/>
        </w:rPr>
        <w:t xml:space="preserve">  ·  Sep 1999 – May 2004  (5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Audit Manager — Insurance &amp; Reinsurance Practice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Statutory audit, internal control, due diligence and transaction support for insurers and reinsurers; investment function reviews.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Centre d'Études Actuarielles, Paris</w:t>
      </w:r>
      <w:r>
        <w:rPr>
          <w:color w:val="262626"/>
        </w:rPr>
        <w:t xml:space="preserve">  —  Actuarial Science programme, all examinations passed</w:t>
      </w:r>
      <w:r>
        <w:rPr>
          <w:color w:val="595959"/>
          <w:sz w:val="18"/>
        </w:rPr>
        <w:t xml:space="preserve">  |  2002–2004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ENOES — École de l'Expertise Comptable</w:t>
      </w:r>
      <w:r>
        <w:rPr>
          <w:color w:val="262626"/>
        </w:rPr>
        <w:t xml:space="preserve">  —  D.E.C.F. (French state diploma in accounting and finance)</w:t>
      </w:r>
      <w:r>
        <w:rPr>
          <w:color w:val="595959"/>
          <w:sz w:val="18"/>
        </w:rPr>
        <w:t xml:space="preserve">  |  2001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Project Management Institute</w:t>
      </w:r>
      <w:r>
        <w:rPr>
          <w:color w:val="262626"/>
        </w:rPr>
        <w:t xml:space="preserve">  —  PMP® — Project Management Professional (active)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Certifications</w:t>
      </w:r>
      <w:r>
        <w:rPr>
          <w:color w:val="262626"/>
        </w:rPr>
        <w:t xml:space="preserve">  —  Generative AI Primer  |  GenAI for Account Executives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53A268A1" w14:textId="14EA7854" w:rsidR="004B17F9" w:rsidRDefault="00000000">
      <w:pPr>
        <w:spacing w:before="80" w:after="80"/>
        <w:ind w:left="180"/>
      </w:pPr>
      <w:r>
        <w:rPr>
          <w:color w:val="262626"/>
        </w:rPr>
        <w:t xml:space="preserve">French: Native  |  English: Full professional proficiency (C1/C2)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 xml:space="preserve">Available: immediately  |  Format: hybrid, Paris / Île-de-France  |  Geography: France; UK &amp; Ireland, Benelux, Switzerland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1E"/>
    <w:rsid w:val="0015074B"/>
    <w:rsid w:val="00182ED7"/>
    <w:rsid w:val="0029639D"/>
    <w:rsid w:val="002D3B92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1595</Words>
  <Characters>10358</Characters>
  <Application>Microsoft Office Word</Application>
  <DocSecurity>0</DocSecurity>
  <Lines>152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Xavier Robitaille</dc:title>
  <dc:subject/>
  <dc:creator>Xavier Robitaille</dc:creator>
  <cp:keywords/>
  <dc:description>generated by python-docx</dc:description>
  <cp:lastModifiedBy>Xavier Robitaille</cp:lastModifiedBy>
  <cp:revision>2</cp:revision>
  <dcterms:created xsi:type="dcterms:W3CDTF">2026-09-27T22:16:00Z</dcterms:created>
  <dcterms:modified xsi:type="dcterms:W3CDTF">2026-09-27T22:16:00Z</dcterms:modified>
  <cp:category/>
</cp:coreProperties>
</file>