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1C7445" w14:textId="1A311416" w:rsidR="004B17F9" w:rsidRDefault="00000000">
      <w:pPr>
        <w:shd w:val="clear" w:color="auto" w:fill="1F3864"/>
        <w:spacing w:after="0" w:line="240" w:lineRule="auto"/>
        <w:jc w:val="center"/>
      </w:pPr>
      <w:r>
        <w:rPr>
          <w:b/>
          <w:color w:val="FFFFFF"/>
          <w:sz w:val="32"/>
        </w:rPr>
        <w:t xml:space="preserve">XAVIER ROBITAILLE</w:t>
      </w:r>
    </w:p>
    <w:p w14:paraId="1EA547DF" w14:textId="424EED89" w:rsidR="004B17F9" w:rsidRDefault="00000000">
      <w:pPr>
        <w:shd w:val="clear" w:color="auto" w:fill="1F3864"/>
        <w:spacing w:after="0" w:line="240" w:lineRule="auto"/>
        <w:jc w:val="center"/>
      </w:pPr>
      <w:r>
        <w:rPr>
          <w:color w:val="D6E4F0"/>
        </w:rPr>
        <w:t xml:space="preserve">IFRS 17 / IFRS 9 / Solvency II Specialist  |  Insurance Finance Transformation</w:t>
      </w:r>
      <w:r>
        <w:rPr>
          <w:color w:val="D6E4F0"/>
        </w:rPr>
        <w:br/>
      </w:r>
      <w:r>
        <w:rPr>
          <w:color w:val="D6E4F0"/>
        </w:rPr>
        <w:t xml:space="preserve">Senior Consultant &amp; Programme Lead — Finance / Actuarial / IT Interface</w:t>
      </w:r>
    </w:p>
    <w:p w14:paraId="45C2F075" w14:textId="0C15FB1B" w:rsidR="004B17F9" w:rsidRDefault="00000000">
      <w:pPr>
        <w:shd w:val="clear" w:color="auto" w:fill="2E75B6"/>
        <w:spacing w:before="60" w:after="60" w:line="240" w:lineRule="auto"/>
        <w:jc w:val="center"/>
      </w:pPr>
      <w:r>
        <w:rPr>
          <w:color w:val="FFFFFF"/>
          <w:sz w:val="18"/>
        </w:rPr>
        <w:t xml:space="preserve">+33 6 64 89 09 43  |  xrobitaille92150@gmail.com  |  linkedin.com/in/xrobitaille  |  Paris, hybrid - available now</w:t>
      </w:r>
    </w:p>
    <w:p w14:paraId="12706649" w14:textId="77777777" w:rsidR="00791555" w:rsidRPr="00791555" w:rsidRDefault="00000000" w:rsidP="00791555">
      <w:pPr>
        <w:spacing w:after="0" w:line="240" w:lineRule="auto"/>
        <w:rPr>
          <w:sz w:val="2"/>
          <w:szCs w:val="2"/>
        </w:rPr>
      </w:pPr>
      <w:r>
        <w:rPr>
          <w:sz w:val="2"/>
          <w:szCs w:val="2"/>
        </w:rPr>
        <w:t xml:space="preserve">  </w:t>
      </w:r>
    </w:p>
    <w:p w14:paraId="4C53F755" w14:textId="77777777" w:rsidR="0013741E" w:rsidRPr="0013741E" w:rsidRDefault="0013741E" w:rsidP="0013741E">
      <w:pPr>
        <w:rPr>
          <w:sz w:val="2"/>
          <w:szCs w:val="6"/>
        </w:rPr>
      </w:pPr>
    </w:p>
    <w:p w14:paraId="628F860E" w14:textId="7BC193E7" w:rsidR="004B17F9" w:rsidRDefault="00000000" w:rsidP="00791555">
      <w:pPr>
        <w:shd w:val="clear" w:color="auto" w:fill="2E75B6"/>
        <w:spacing w:after="80"/>
      </w:pPr>
      <w:r>
        <w:rPr>
          <w:b/>
          <w:color w:val="FFFFFF"/>
          <w:sz w:val="22"/>
        </w:rPr>
        <w:t xml:space="preserve">EXECUTIVE SUMMARY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color w:val="262626"/>
        </w:rPr>
        <w:t xml:space="preserve">Senior finance consultant specialised in </w:t>
      </w:r>
      <w:r>
        <w:rPr>
          <w:b/>
          <w:bCs/>
          <w:color w:val="262626"/>
        </w:rPr>
        <w:t xml:space="preserve">insurance accounting transformation</w:t>
      </w:r>
      <w:r>
        <w:rPr>
          <w:color w:val="262626"/>
        </w:rPr>
        <w:t xml:space="preserve">, 25+ years across insurance, reinsurance and asset management: from impact assessment and TOM design to </w:t>
      </w:r>
      <w:r>
        <w:rPr>
          <w:b/>
          <w:bCs/>
          <w:color w:val="262626"/>
        </w:rPr>
        <w:t xml:space="preserve">dry-run close</w:t>
      </w:r>
      <w:r>
        <w:rPr>
          <w:color w:val="262626"/>
        </w:rPr>
        <w:t xml:space="preserve">, systems design, UAT and first-year live production under </w:t>
      </w:r>
      <w:r>
        <w:rPr>
          <w:b/>
          <w:bCs/>
          <w:color w:val="262626"/>
        </w:rPr>
        <w:t xml:space="preserve">IFRS 17, IFRS 9 and Solvency II</w:t>
      </w:r>
      <w:r>
        <w:rPr>
          <w:color w:val="262626"/>
        </w:rPr>
        <w:t xml:space="preserve">.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color w:val="262626"/>
        </w:rPr>
        <w:t xml:space="preserve">Rare combination of the </w:t>
      </w:r>
      <w:r>
        <w:rPr>
          <w:b/>
          <w:bCs/>
          <w:color w:val="262626"/>
        </w:rPr>
        <w:t xml:space="preserve">full examination track of the Centre d'Études Actuarielles</w:t>
      </w:r>
      <w:r>
        <w:rPr>
          <w:color w:val="262626"/>
        </w:rPr>
        <w:t xml:space="preserve">, technical accounting (D.E.C.F.) and programme delivery (PMP), credible across Finance, Actuarial, Risk and IT.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color w:val="262626"/>
        </w:rPr>
        <w:t xml:space="preserve">Track record: Finance Stream Leader IFRS 9 / IFRS 17 / Solvency II at </w:t>
      </w:r>
      <w:r>
        <w:rPr>
          <w:b/>
          <w:bCs/>
          <w:color w:val="262626"/>
        </w:rPr>
        <w:t xml:space="preserve">AXA XL</w:t>
      </w:r>
      <w:r>
        <w:rPr>
          <w:color w:val="262626"/>
        </w:rPr>
        <w:t xml:space="preserve"> (PAA eligibility, SAS-based dry-run, Solvency II deliverables); IFRS 9 at </w:t>
      </w:r>
      <w:r>
        <w:rPr>
          <w:b/>
          <w:bCs/>
          <w:color w:val="262626"/>
        </w:rPr>
        <w:t xml:space="preserve">Coface</w:t>
      </w:r>
      <w:r>
        <w:rPr>
          <w:color w:val="262626"/>
        </w:rPr>
        <w:t xml:space="preserve">, rolled out in stages over four years (Finance as sole ECL model owner); Head of Technical Accounting and Reserving (Bornhuetter-Ferguson); Audit Manager in Insurance at Mazars.</w:t>
      </w:r>
    </w:p>
    <w:p w14:paraId="1EBACD71" w14:textId="60F7E814" w:rsidR="00791555" w:rsidRPr="00791555" w:rsidRDefault="00000000" w:rsidP="00E97BD2">
      <w:pPr>
        <w:pStyle w:val="Paragraphedeliste"/>
        <w:numPr>
          <w:ilvl w:val="0"/>
          <w:numId w:val="10"/>
        </w:numPr>
        <w:spacing w:before="80" w:after="80"/>
        <w:ind w:left="142" w:right="120" w:hanging="142"/>
        <w:jc w:val="both"/>
      </w:pPr>
      <w:r>
        <w:rPr>
          <w:b/>
          <w:bCs/>
          <w:color w:val="262626"/>
        </w:rPr>
        <w:t xml:space="preserve">Fully bilingual EN/FR</w:t>
      </w:r>
      <w:r>
        <w:rPr>
          <w:color w:val="262626"/>
        </w:rPr>
        <w:t xml:space="preserve">. Based in Paris; hybrid engagements in France and Europe.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KEY REGULATORY ASSIGNMENTS — IFRS 9 / IFRS 17 / SOLVENCY II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AXA XL (P&amp;C Finance)</w:t>
      </w:r>
      <w:r>
        <w:rPr>
          <w:color w:val="262626"/>
        </w:rPr>
        <w:t xml:space="preserve">  —  Finance Stream Leader IFRS 9 + IFRS 17 + Solvency II — PAA eligibility across all LoB, SAS-based dry-run close, ~€25m equity impact quantified, Solvency II deliverables (QRT, ORSA, RSR/SFCR) (2018–2019)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Coface Group Finance</w:t>
      </w:r>
      <w:r>
        <w:rPr>
          <w:color w:val="262626"/>
        </w:rPr>
        <w:t xml:space="preserve">  —  IFRS 9 Project Manager — rolled out in stages: POCs, ECL model (SAS, Finance as sole owner, external risk matrices), accounting schemes, data migration, UAT (2020–2022)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Coface Group Finance</w:t>
      </w:r>
      <w:r>
        <w:rPr>
          <w:color w:val="262626"/>
        </w:rPr>
        <w:t xml:space="preserve">  —  Group Head of Investment Accounting — IFRS 9 live production, R2R automation, D+5→D+3 closing via SAP S/4HANA, Power BI investment dashboard (2023–2024)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Coface</w:t>
      </w:r>
      <w:r>
        <w:rPr>
          <w:color w:val="262626"/>
        </w:rPr>
        <w:t xml:space="preserve">  —  Head of Technical Accounting &amp; Reserving — Bornhuetter-Ferguson stochastic reserving, IFRS technical accounting (2004–2005); investment data platform in SAS (2017–2018)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Clearwater Analytics</w:t>
      </w:r>
      <w:r>
        <w:rPr>
          <w:color w:val="262626"/>
        </w:rPr>
        <w:t xml:space="preserve">  —  Senior Programme Manager — Solvency II reporting chain on a SaaS investment platform for a French reinsurer, French GAAP accounting design (2024–2026)</w:t>
      </w:r>
    </w:p>
    <w:p w14:paraId="0EF47612" w14:textId="77777777" w:rsidR="004B17F9" w:rsidRDefault="00000000" w:rsidP="00E97BD2">
      <w:pPr>
        <w:pStyle w:val="Paragraphedeliste"/>
        <w:numPr>
          <w:ilvl w:val="0"/>
          <w:numId w:val="11"/>
        </w:numPr>
        <w:spacing w:before="40" w:after="40"/>
        <w:ind w:left="142" w:hanging="142"/>
        <w:jc w:val="both"/>
      </w:pPr>
      <w:r>
        <w:rPr>
          <w:b/>
          <w:color w:val="1F3864"/>
        </w:rPr>
        <w:t xml:space="preserve">Mazars</w:t>
      </w:r>
      <w:r>
        <w:rPr>
          <w:color w:val="262626"/>
        </w:rPr>
        <w:t xml:space="preserve">  —  Audit Manager Insurance &amp; Reinsurance — statutory audit, internal control, reserving reviews (1999–2004)</w:t>
      </w:r>
    </w:p>
    <w:p w14:paraId="44172433" w14:textId="2D0CC68C" w:rsidR="004B17F9" w:rsidRPr="0013741E" w:rsidRDefault="00000000" w:rsidP="00791555">
      <w:pPr>
        <w:spacing w:before="60" w:after="60"/>
        <w:ind w:left="120" w:right="120"/>
        <w:rPr>
          <w:color w:val="FFFFFF" w:themeColor="background1"/>
          <w:sz w:val="4"/>
          <w:szCs w:val="4"/>
        </w:rPr>
      </w:pPr>
      <w:r>
        <w:rPr>
          <w:color w:val="FFFFFF" w:themeColor="background1"/>
          <w:sz w:val="4"/>
          <w:szCs w:val="4"/>
        </w:rPr>
        <w:t xml:space="preserve">IFRS 17  |  IFRS 9  |  Solvency II  |  PAA (Premium Allocation Approach)  |  GMM  |  ECL Model  |  Insurance Finance Transformation  |  Technical Accounting  |  Reserving  |  Technical Provisions  |  QRT Reporting  |  ORSA / RSR / SFCR  |  Target Operating Model  |  Dry-run Close  |  Impact Assessment  |  Record to Report (R2R)  |  Process Automation  |  Data Migration  |  UAT  |  Finance / Actuarial / IT Interface  |  PMO  |  SAP S/4HANA  |  SAP BFC  |  SAS  |  Investment Accounting  |  Closing Optimisation  |  Solvency II Look-through  |  Regulatory Reporting  |  Power BI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PROFESSIONAL EXPERIENCE</w:t>
      </w: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AXA XL  —  P&amp;C Finance</w:t>
      </w:r>
      <w:r>
        <w:rPr>
          <w:color w:val="595959"/>
        </w:rPr>
        <w:t xml:space="preserve">  ·  May 2018 – Jul 2019  (15 months)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Finance Stream Leader — IFRS 9 / IFRS 17 / Solvency II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Led Finance impact assessment and implementation workstreams for a combined </w:t>
      </w:r>
      <w:r>
        <w:rPr>
          <w:b/>
          <w:color w:val="262626"/>
        </w:rPr>
        <w:t xml:space="preserve">IFRS 9, IFRS 17 and Solvency II</w:t>
      </w:r>
      <w:r>
        <w:rPr>
          <w:color w:val="262626"/>
        </w:rPr>
        <w:t xml:space="preserve"> transformation within an AXA P&amp;C entity.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IFRS 9: led classification &amp; measurement assessment (investment portfolio), impairment approach design, transition accounting entries and ECL staging methodology, with Risk and Actuarial on provisioning model inputs.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IFRS 17: confirmed </w:t>
      </w:r>
      <w:r>
        <w:rPr>
          <w:b/>
          <w:color w:val="262626"/>
        </w:rPr>
        <w:t xml:space="preserve">PAA eligibility</w:t>
      </w:r>
      <w:r>
        <w:rPr>
          <w:color w:val="262626"/>
        </w:rPr>
        <w:t xml:space="preserve"> across all contract families (coverage ≤ 1 year); delivered an IFRS 17 </w:t>
      </w:r>
      <w:r>
        <w:rPr>
          <w:b/>
          <w:color w:val="262626"/>
        </w:rPr>
        <w:t xml:space="preserve">dry-run close</w:t>
      </w:r>
      <w:r>
        <w:rPr>
          <w:color w:val="262626"/>
        </w:rPr>
        <w:t xml:space="preserve"> at 31 Dec 2017 on a SAS-based internal model (derived from the AXA Group model): </w:t>
      </w:r>
      <w:r>
        <w:rPr>
          <w:b/>
          <w:color w:val="262626"/>
        </w:rPr>
        <w:t xml:space="preserve">~€25m equity transition adjustment</w:t>
      </w:r>
      <w:r>
        <w:rPr>
          <w:color w:val="262626"/>
        </w:rPr>
        <w:t xml:space="preserve"> and ~1.5 pt combined ratio variance quantified across 8 lines of business.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Defined the </w:t>
      </w:r>
      <w:r>
        <w:rPr>
          <w:b/>
          <w:color w:val="262626"/>
        </w:rPr>
        <w:t xml:space="preserve">Target Operating Model</w:t>
      </w:r>
      <w:r>
        <w:rPr>
          <w:color w:val="262626"/>
        </w:rPr>
        <w:t xml:space="preserve">: organisation, processes, accounting tools and reporting architecture under the new standards.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Supervised the Solvency II deliverables — QRT reporting (Invoke), contributions to ORSA, RSR and SFCR; co-led steering committees with Finance, Actuarial, Risk, Reinsurance, IT and external audit.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Organised quarterly and annual closing cycles: planning, task allocation, daily reporting to senior management.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Coface Group  —  Group Finance</w:t>
      </w:r>
      <w:r>
        <w:rPr>
          <w:color w:val="595959"/>
        </w:rPr>
        <w:t xml:space="preserve">  ·  May 2017 – May 2018  +  Jan 2020 – Oct 2024  (5 years)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IFRS 9 Project Manager  /  Group Head of Investment Accounting</w:t>
      </w:r>
    </w:p>
    <w:p w14:paraId="3777882A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 xml:space="preserve">IFRS 9 Project Manager  (Jan 2020 – Dec 2022)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Led Finance workstreams of the IFRS 9 project, </w:t>
      </w:r>
      <w:r>
        <w:rPr>
          <w:b/>
          <w:color w:val="262626"/>
        </w:rPr>
        <w:t xml:space="preserve">rolled out in stages over four years</w:t>
      </w:r>
      <w:r>
        <w:rPr>
          <w:color w:val="262626"/>
        </w:rPr>
        <w:t xml:space="preserve">: successive POCs, ECL methodology, accounting schemes, UAT, coordination with the custodian CACEIS.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the </w:t>
      </w:r>
      <w:r>
        <w:rPr>
          <w:b/>
          <w:color w:val="262626"/>
        </w:rPr>
        <w:t xml:space="preserve">ECL (Expected Credit Loss) model</w:t>
      </w:r>
      <w:r>
        <w:rPr>
          <w:color w:val="262626"/>
        </w:rPr>
        <w:t xml:space="preserve"> end-to-end on external risk matrices, implemented in </w:t>
      </w:r>
      <w:r>
        <w:rPr>
          <w:b/>
          <w:color w:val="262626"/>
        </w:rPr>
        <w:t xml:space="preserve">SAS</w:t>
      </w:r>
      <w:r>
        <w:rPr>
          <w:color w:val="262626"/>
        </w:rPr>
        <w:t xml:space="preserve">, with </w:t>
      </w:r>
      <w:r>
        <w:rPr>
          <w:b/>
          <w:color w:val="262626"/>
        </w:rPr>
        <w:t xml:space="preserve">Finance as sole model owner</w:t>
      </w:r>
      <w:r>
        <w:rPr>
          <w:color w:val="262626"/>
        </w:rPr>
        <w:t xml:space="preserve"> — an unusual setup giving full control over model governance; monthly variance analysis in post-production.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Validated transition accounting schemes (IFRS 9 Day-1 entries); redesigned the close calendar; automated control tools; coordinated Finance, Risk, IT and external auditors.</w:t>
      </w:r>
    </w:p>
    <w:p w14:paraId="3777882A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 xml:space="preserve">Group Head of Investment Accounting  (Jan 2023 – Oct 2024)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Steered IFRS 9 first-year live production for a </w:t>
      </w:r>
      <w:r>
        <w:rPr>
          <w:b/>
          <w:color w:val="262626"/>
        </w:rPr>
        <w:t xml:space="preserve">~€3bn portfolio</w:t>
      </w:r>
      <w:r>
        <w:rPr>
          <w:color w:val="262626"/>
        </w:rPr>
        <w:t xml:space="preserve"> outsourced to CACEIS across </w:t>
      </w:r>
      <w:r>
        <w:rPr>
          <w:b/>
          <w:color w:val="262626"/>
        </w:rPr>
        <w:t xml:space="preserve">~20 international entities</w:t>
      </w:r>
      <w:r>
        <w:rPr>
          <w:color w:val="262626"/>
        </w:rPr>
        <w:t xml:space="preserve">; cut closing from </w:t>
      </w:r>
      <w:r>
        <w:rPr>
          <w:b/>
          <w:color w:val="262626"/>
        </w:rPr>
        <w:t xml:space="preserve">D+5 to D+3</w:t>
      </w:r>
      <w:r>
        <w:rPr>
          <w:color w:val="262626"/>
        </w:rPr>
        <w:t xml:space="preserve"> through SAP S/4HANA interface automation and the SAP→SAP BFC chain.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Industrialised R2R: </w:t>
      </w:r>
      <w:r>
        <w:rPr>
          <w:b/>
          <w:color w:val="262626"/>
        </w:rPr>
        <w:t xml:space="preserve">Power Query</w:t>
      </w:r>
      <w:r>
        <w:rPr>
          <w:color w:val="262626"/>
        </w:rPr>
        <w:t xml:space="preserve"> workflows for CACEIS data, </w:t>
      </w:r>
      <w:r>
        <w:rPr>
          <w:b/>
          <w:color w:val="262626"/>
        </w:rPr>
        <w:t xml:space="preserve">VBA macros</w:t>
      </w:r>
      <w:r>
        <w:rPr>
          <w:color w:val="262626"/>
        </w:rPr>
        <w:t xml:space="preserve"> for custodian-to-SAP conversion, </w:t>
      </w:r>
      <w:r>
        <w:rPr>
          <w:b/>
          <w:color w:val="262626"/>
        </w:rPr>
        <w:t xml:space="preserve">SAP FC Publisher</w:t>
      </w:r>
      <w:r>
        <w:rPr>
          <w:color w:val="262626"/>
        </w:rPr>
        <w:t xml:space="preserve"> automation for BFC consolidation; </w:t>
      </w:r>
      <w:r>
        <w:rPr>
          <w:b/>
          <w:color w:val="262626"/>
        </w:rPr>
        <w:t xml:space="preserve">Power BI</w:t>
      </w:r>
      <w:r>
        <w:rPr>
          <w:color w:val="262626"/>
        </w:rPr>
        <w:t xml:space="preserve"> investment dashboard.</w:t>
      </w:r>
    </w:p>
    <w:p w14:paraId="3777882A" w14:textId="77777777" w:rsidR="004B17F9" w:rsidRDefault="00000000">
      <w:pPr>
        <w:spacing w:before="80" w:after="20"/>
        <w:ind w:left="180"/>
      </w:pPr>
      <w:r>
        <w:rPr>
          <w:b/>
          <w:color w:val="2E75B6"/>
        </w:rPr>
        <w:t xml:space="preserve">First assignment  (May 2017 – May 2018)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Head of Technical Accounting: investment accounting production, regulatory reporting, operating model; designed a shared </w:t>
      </w:r>
      <w:r>
        <w:rPr>
          <w:b/>
          <w:color w:val="262626"/>
        </w:rPr>
        <w:t xml:space="preserve">investment data platform in SAS</w:t>
      </w:r>
      <w:r>
        <w:rPr>
          <w:color w:val="262626"/>
        </w:rPr>
        <w:t xml:space="preserve">, backbone of the 2020 IFRS 9 ECL model.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Coface  —  Group Finance  (first tenure)</w:t>
      </w:r>
      <w:r>
        <w:rPr>
          <w:color w:val="595959"/>
        </w:rPr>
        <w:t xml:space="preserve">  ·  May 2004 – Oct 2005  (18 months)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Head of Technical Accounting and Reserving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Led insurance technical accounting and provisioning across a multi-entity insurance group; team of 16.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Designed and implemented </w:t>
      </w:r>
      <w:r>
        <w:rPr>
          <w:b/>
          <w:color w:val="262626"/>
        </w:rPr>
        <w:t xml:space="preserve">Bornhuetter-Ferguson stochastic reserving methodology</w:t>
      </w:r>
      <w:r>
        <w:rPr>
          <w:color w:val="262626"/>
        </w:rPr>
        <w:t xml:space="preserve"> — replacing manual estimation with a structured quantitative model; accelerated close process.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Coordinated accounting, actuarial and operational stakeholders; intercompany reconciliations and Group Finance coordination.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Clearwater Analytics</w:t>
      </w:r>
      <w:r>
        <w:rPr>
          <w:color w:val="595959"/>
        </w:rPr>
        <w:t xml:space="preserve">  ·  Nov 2024 – June 2026  (20 months)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Senior Programme Manager — Investment Platform &amp; Solvency II Reporting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Led end-to-end delivery of a cloud-native investment platform (</w:t>
      </w:r>
      <w:r>
        <w:rPr>
          <w:b/>
          <w:color w:val="262626"/>
        </w:rPr>
        <w:t xml:space="preserve">Clearwater Analytics SaaS</w:t>
      </w:r>
      <w:r>
        <w:rPr>
          <w:color w:val="262626"/>
        </w:rPr>
        <w:t xml:space="preserve">, </w:t>
      </w:r>
      <w:r>
        <w:rPr>
          <w:b/>
          <w:color w:val="262626"/>
        </w:rPr>
        <w:t xml:space="preserve">€11bn AUM</w:t>
      </w:r>
      <w:r>
        <w:rPr>
          <w:color w:val="262626"/>
        </w:rPr>
        <w:t xml:space="preserve">) for a French reinsurer, including the Solvency II reporting module, French GAAP accounting design and GL integration.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Delivered full </w:t>
      </w:r>
      <w:r>
        <w:rPr>
          <w:b/>
          <w:color w:val="262626"/>
        </w:rPr>
        <w:t xml:space="preserve">straight-through processing (STP)</w:t>
      </w:r>
      <w:r>
        <w:rPr>
          <w:color w:val="262626"/>
        </w:rPr>
        <w:t xml:space="preserve"> from order management through accounting to Solvency II QRT reporting; closing cycle reduced from </w:t>
      </w:r>
      <w:r>
        <w:rPr>
          <w:b/>
          <w:color w:val="262626"/>
        </w:rPr>
        <w:t xml:space="preserve">D+4 to D+2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Deployed an </w:t>
      </w:r>
      <w:r>
        <w:rPr>
          <w:b/>
          <w:color w:val="262626"/>
        </w:rPr>
        <w:t xml:space="preserve">AI-powered control framework</w:t>
      </w:r>
      <w:r>
        <w:rPr>
          <w:color w:val="262626"/>
        </w:rPr>
        <w:t xml:space="preserve"> (price-variation monitoring, AI-assisted tripartite reconciliation FO/BO/custodian, automated closed-end fund processing).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Supervised Solvency II reporting design and accounting workstreams through UAT and go-live; bilingual EN/FR C-suite Sponsor Committees, RAID log (10+ critical risks), OMS go-live (Dec 2025) and CORE go-live (Apr 2026).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CNP Assurances</w:t>
      </w:r>
      <w:r>
        <w:rPr>
          <w:color w:val="595959"/>
        </w:rPr>
        <w:t xml:space="preserve">  ·  2013 – 2017  (4 years)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Head of Financial Production &amp; Solvency II  /  Lead Business Owner — SimCorp Dimension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Head of Financial Production &amp; Solvency II Unit (May–Dec 2013): managed 5-person team (Solvency II reporting, portfolio sensitivities, performance reporting); enhanced the </w:t>
      </w:r>
      <w:r>
        <w:rPr>
          <w:b/>
          <w:color w:val="262626"/>
        </w:rPr>
        <w:t xml:space="preserve">P&amp;L Forecast model</w:t>
      </w:r>
      <w:r>
        <w:rPr>
          <w:color w:val="262626"/>
        </w:rPr>
        <w:t xml:space="preserve">; roadmap from </w:t>
      </w:r>
      <w:r>
        <w:rPr>
          <w:b/>
          <w:color w:val="262626"/>
        </w:rPr>
        <w:t xml:space="preserve">Access</w:t>
      </w:r>
      <w:r>
        <w:rPr>
          <w:color w:val="262626"/>
        </w:rPr>
        <w:t xml:space="preserve"> to </w:t>
      </w:r>
      <w:r>
        <w:rPr>
          <w:b/>
          <w:color w:val="262626"/>
        </w:rPr>
        <w:t xml:space="preserve">SAS</w:t>
      </w:r>
      <w:r>
        <w:rPr>
          <w:color w:val="262626"/>
        </w:rPr>
        <w:t xml:space="preserve"> and </w:t>
      </w:r>
      <w:r>
        <w:rPr>
          <w:b/>
          <w:color w:val="262626"/>
        </w:rPr>
        <w:t xml:space="preserve">QlikView</w:t>
      </w:r>
      <w:r>
        <w:rPr>
          <w:color w:val="262626"/>
        </w:rPr>
        <w:t xml:space="preserve">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Lead Business Owner for </w:t>
      </w:r>
      <w:r>
        <w:rPr>
          <w:b/>
          <w:color w:val="262626"/>
        </w:rPr>
        <w:t xml:space="preserve">SimCorp Dimension</w:t>
      </w:r>
      <w:r>
        <w:rPr>
          <w:color w:val="262626"/>
        </w:rPr>
        <w:t xml:space="preserve"> (</w:t>
      </w:r>
      <w:r>
        <w:rPr>
          <w:b/>
          <w:color w:val="262626"/>
        </w:rPr>
        <w:t xml:space="preserve">~€350bn AUM</w:t>
      </w:r>
      <w:r>
        <w:rPr>
          <w:color w:val="262626"/>
        </w:rPr>
        <w:t xml:space="preserve">): functional design, multi-GAAP accounting rules and postings, controls, Solvency II reporting, UAT and go-live.</w:t>
      </w:r>
    </w:p>
    <w:p w14:paraId="4A1D94FB" w14:textId="77777777" w:rsidR="004B17F9" w:rsidRDefault="004B17F9">
      <w:pPr>
        <w:pBdr>
          <w:bottom w:val="single" w:sz="4" w:space="1" w:color="D6E4F0"/>
        </w:pBdr>
        <w:spacing w:after="0" w:line="240" w:lineRule="auto"/>
      </w:pPr>
    </w:p>
    <w:p w14:paraId="663BF815" w14:textId="4483F212" w:rsidR="004B17F9" w:rsidRDefault="00000000">
      <w:pPr>
        <w:spacing w:before="160" w:after="30"/>
      </w:pPr>
      <w:r>
        <w:rPr>
          <w:b/>
          <w:color w:val="1F3864"/>
          <w:sz w:val="21"/>
        </w:rPr>
        <w:t xml:space="preserve">Primexis  /  SCOR  /  Mazars</w:t>
      </w:r>
      <w:r>
        <w:rPr>
          <w:color w:val="595959"/>
        </w:rPr>
        <w:t xml:space="preserve">  ·  Sep 1999 – Apr 2013</w:t>
      </w:r>
    </w:p>
    <w:p w14:paraId="25A92EEC" w14:textId="77777777" w:rsidR="004B17F9" w:rsidRDefault="00000000">
      <w:pPr>
        <w:spacing w:after="60"/>
      </w:pPr>
      <w:r>
        <w:rPr>
          <w:b/>
          <w:i/>
          <w:color w:val="2E75B6"/>
        </w:rPr>
        <w:t xml:space="preserve">Earlier Career — Insurance Audit, Consolidation and Transformation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b/>
          <w:color w:val="262626"/>
        </w:rPr>
        <w:t xml:space="preserve">Mazars</w:t>
      </w:r>
      <w:r>
        <w:rPr>
          <w:color w:val="262626"/>
        </w:rPr>
        <w:t xml:space="preserve"> (1999–2004): Audit Manager, Insurance &amp; Reinsurance — statutory audit, internal control, due diligence and reserving reviews; insurance-specific accounting and technical provisions.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b/>
          <w:color w:val="262626"/>
        </w:rPr>
        <w:t xml:space="preserve">SCOR</w:t>
      </w:r>
      <w:r>
        <w:rPr>
          <w:color w:val="262626"/>
        </w:rPr>
        <w:t xml:space="preserve"> (2005–2008): Head of Group Consolidation (quarterly IFRS, annual US GAAP) and chief transformation officer of the investment function — SimCorp Dimension selection and RFI/RFP; project budget €3m/year.</w:t>
      </w:r>
    </w:p>
    <w:p w14:paraId="6679DFC9" w14:textId="77777777" w:rsidR="004B17F9" w:rsidRDefault="00000000">
      <w:pPr>
        <w:pStyle w:val="Listepuces"/>
        <w:spacing w:before="30" w:after="30"/>
        <w:ind w:hanging="180"/>
      </w:pPr>
      <w:r>
        <w:rPr>
          <w:b/>
          <w:color w:val="262626"/>
        </w:rPr>
        <w:t xml:space="preserve">Primexis</w:t>
      </w:r>
      <w:r>
        <w:rPr>
          <w:color w:val="262626"/>
        </w:rPr>
        <w:t xml:space="preserve"> (2008–2013): Associate Director — built a 20-consultant Insurance practice (€3m revenue, 10 clients, Executive Committee). Concurrent SimCorp PM at SCOR Investment Partners (€20bn AUM): Solvency II look-through automation for UCITS funds (underlying assets, sensitivities, transparisation).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EDUCATION &amp; QUALIFICATIONS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ESCP Business School</w:t>
      </w:r>
      <w:r>
        <w:rPr>
          <w:color w:val="262626"/>
        </w:rPr>
        <w:t xml:space="preserve">  —  Grande École — Master in Management  |  Major: Finance</w:t>
      </w:r>
      <w:r>
        <w:rPr>
          <w:color w:val="595959"/>
          <w:sz w:val="18"/>
        </w:rPr>
        <w:t xml:space="preserve">  |  1991–1995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Centre d'Études Actuarielles, Paris</w:t>
      </w:r>
      <w:r>
        <w:rPr>
          <w:color w:val="262626"/>
        </w:rPr>
        <w:t xml:space="preserve">  —  Actuarial Science programme, all examinations passed</w:t>
      </w:r>
      <w:r>
        <w:rPr>
          <w:color w:val="595959"/>
          <w:sz w:val="18"/>
        </w:rPr>
        <w:t xml:space="preserve">  |  2002–2004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ENOES — École de l'Expertise Comptable</w:t>
      </w:r>
      <w:r>
        <w:rPr>
          <w:color w:val="262626"/>
        </w:rPr>
        <w:t xml:space="preserve">  —  D.E.C.F. (French state diploma in accounting and finance)</w:t>
      </w:r>
      <w:r>
        <w:rPr>
          <w:color w:val="595959"/>
          <w:sz w:val="18"/>
        </w:rPr>
        <w:t xml:space="preserve">  |  2001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Université Paris Dauphine – PSL</w:t>
      </w:r>
      <w:r>
        <w:rPr>
          <w:color w:val="262626"/>
        </w:rPr>
        <w:t xml:space="preserve">  —  Master in Economics</w:t>
      </w:r>
      <w:r>
        <w:rPr>
          <w:color w:val="595959"/>
          <w:sz w:val="18"/>
        </w:rPr>
        <w:t xml:space="preserve">  |  1995–1996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Project Management Institute</w:t>
      </w:r>
      <w:r>
        <w:rPr>
          <w:color w:val="262626"/>
        </w:rPr>
        <w:t xml:space="preserve">  —  PMP® — Project Management Professional (active)</w:t>
      </w:r>
    </w:p>
    <w:p w14:paraId="18DC9178" w14:textId="77777777" w:rsidR="004B17F9" w:rsidRDefault="00000000">
      <w:pPr>
        <w:spacing w:before="50" w:after="50"/>
        <w:ind w:left="180"/>
      </w:pPr>
      <w:r>
        <w:rPr>
          <w:b/>
          <w:color w:val="1F3864"/>
        </w:rPr>
        <w:t xml:space="preserve">Certifications</w:t>
      </w:r>
      <w:r>
        <w:rPr>
          <w:color w:val="262626"/>
        </w:rPr>
        <w:t xml:space="preserve">  —  Generative AI Primer  |  GenAI for Account Executives</w:t>
      </w:r>
    </w:p>
    <w:p w14:paraId="7A2595E5" w14:textId="77777777" w:rsidR="004B17F9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LANGUAGES &amp; AVAILABILITY</w:t>
      </w:r>
    </w:p>
    <w:p w14:paraId="53A268A1" w14:textId="14EA7854" w:rsidR="004B17F9" w:rsidRDefault="00000000">
      <w:pPr>
        <w:spacing w:before="80" w:after="80"/>
        <w:ind w:left="180"/>
      </w:pPr>
      <w:r>
        <w:rPr>
          <w:color w:val="262626"/>
        </w:rPr>
        <w:t xml:space="preserve">French: Native  |  English: Full professional proficiency (C1/C2)</w:t>
      </w:r>
    </w:p>
    <w:p w14:paraId="1894C494" w14:textId="77777777" w:rsidR="004B17F9" w:rsidRDefault="00000000">
      <w:pPr>
        <w:spacing w:after="80"/>
        <w:ind w:left="180"/>
      </w:pPr>
      <w:r>
        <w:rPr>
          <w:color w:val="262626"/>
        </w:rPr>
        <w:t xml:space="preserve">Available: immediately  |  Format: hybrid, Paris / Île-de-France  |  Geography: France; UK &amp; Ireland, Benelux, Switzerland</w:t>
      </w:r>
    </w:p>
    <w:sectPr w:rsidR="004B17F9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37075"/>
    <w:multiLevelType w:val="hybridMultilevel"/>
    <w:tmpl w:val="2EB66DBC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79947A5E"/>
    <w:multiLevelType w:val="hybridMultilevel"/>
    <w:tmpl w:val="705CEEE4"/>
    <w:lvl w:ilvl="0" w:tplc="040C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319575198">
    <w:abstractNumId w:val="8"/>
  </w:num>
  <w:num w:numId="2" w16cid:durableId="829560583">
    <w:abstractNumId w:val="6"/>
  </w:num>
  <w:num w:numId="3" w16cid:durableId="1552499846">
    <w:abstractNumId w:val="5"/>
  </w:num>
  <w:num w:numId="4" w16cid:durableId="1850682786">
    <w:abstractNumId w:val="4"/>
  </w:num>
  <w:num w:numId="5" w16cid:durableId="897589947">
    <w:abstractNumId w:val="7"/>
  </w:num>
  <w:num w:numId="6" w16cid:durableId="1005205406">
    <w:abstractNumId w:val="3"/>
  </w:num>
  <w:num w:numId="7" w16cid:durableId="1757703315">
    <w:abstractNumId w:val="2"/>
  </w:num>
  <w:num w:numId="8" w16cid:durableId="1139685493">
    <w:abstractNumId w:val="1"/>
  </w:num>
  <w:num w:numId="9" w16cid:durableId="233243014">
    <w:abstractNumId w:val="0"/>
  </w:num>
  <w:num w:numId="10" w16cid:durableId="321861825">
    <w:abstractNumId w:val="9"/>
  </w:num>
  <w:num w:numId="11" w16cid:durableId="269555882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41E"/>
    <w:rsid w:val="0015074B"/>
    <w:rsid w:val="00182ED7"/>
    <w:rsid w:val="0029639D"/>
    <w:rsid w:val="002D3B92"/>
    <w:rsid w:val="00326F90"/>
    <w:rsid w:val="0044507F"/>
    <w:rsid w:val="004B17F9"/>
    <w:rsid w:val="00791555"/>
    <w:rsid w:val="00AA1D8D"/>
    <w:rsid w:val="00B47730"/>
    <w:rsid w:val="00CB0664"/>
    <w:rsid w:val="00CF0009"/>
    <w:rsid w:val="00E97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4FFE5A"/>
  <w14:defaultImageDpi w14:val="300"/>
  <w15:docId w15:val="{41C14C36-5BC1-D948-B300-F6256751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1595</Words>
  <Characters>10358</Characters>
  <Application>Microsoft Office Word</Application>
  <DocSecurity>0</DocSecurity>
  <Lines>152</Lines>
  <Paragraphs>92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Xavier Robitaille</dc:title>
  <dc:subject/>
  <dc:creator>Xavier Robitaille</dc:creator>
  <cp:keywords/>
  <dc:description>generated by python-docx</dc:description>
  <cp:lastModifiedBy>Xavier Robitaille</cp:lastModifiedBy>
  <cp:revision>2</cp:revision>
  <dcterms:created xsi:type="dcterms:W3CDTF">2026-09-27T22:16:00Z</dcterms:created>
  <dcterms:modified xsi:type="dcterms:W3CDTF">2026-09-27T22:16:00Z</dcterms:modified>
  <cp:category/>
</cp:coreProperties>
</file>