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EDE10" w14:textId="77777777" w:rsidR="007E13C3" w:rsidRDefault="00000000">
      <w:pPr>
        <w:shd w:val="clear" w:color="auto" w:fill="1F3864"/>
        <w:spacing w:after="0" w:line="240" w:lineRule="auto"/>
        <w:jc w:val="center"/>
      </w:pPr>
      <w:r>
        <w:rPr>
          <w:b/>
          <w:color w:val="FFFFFF"/>
          <w:sz w:val="32"/>
        </w:rPr>
        <w:t>XAVIER ROBITAILLE</w:t>
      </w:r>
    </w:p>
    <w:p w14:paraId="2589EAC0" w14:textId="6F819129" w:rsidR="007E13C3" w:rsidRPr="006D7B53" w:rsidRDefault="00000000">
      <w:pPr>
        <w:shd w:val="clear" w:color="auto" w:fill="1F3864"/>
        <w:spacing w:after="0" w:line="240" w:lineRule="auto"/>
        <w:jc w:val="center"/>
        <w:rPr>
          <w:sz w:val="4"/>
          <w:szCs w:val="6"/>
        </w:rPr>
      </w:pPr>
      <w:r>
        <w:rPr>
          <w:color w:val="D6E4F0"/>
        </w:rPr>
        <w:t>Senior Finance Transformation Consultant  |  PMO &amp; Programme Delivery  |  Insurance &amp; Asset Management</w:t>
      </w:r>
      <w:r w:rsidR="006D7B53">
        <w:rPr>
          <w:color w:val="D6E4F0"/>
        </w:rPr>
        <w:br/>
      </w:r>
    </w:p>
    <w:p w14:paraId="36FF808C" w14:textId="550032B4" w:rsidR="007E13C3" w:rsidRPr="006D7B53" w:rsidRDefault="00000000">
      <w:pPr>
        <w:shd w:val="clear" w:color="auto" w:fill="2E75B6"/>
        <w:spacing w:before="60" w:after="60" w:line="240" w:lineRule="auto"/>
        <w:jc w:val="center"/>
        <w:rPr>
          <w:sz w:val="4"/>
          <w:szCs w:val="10"/>
        </w:rPr>
      </w:pPr>
      <w:r>
        <w:rPr>
          <w:color w:val="FFFFFF"/>
          <w:sz w:val="18"/>
        </w:rPr>
        <w:t>+33 6 64 89 09 43  |  xrobitaille92150@gmail.com  |  linkedin.com/in/xrobitaille  |  Open to remote / international assignments</w:t>
      </w:r>
      <w:r w:rsidR="006D7B53">
        <w:rPr>
          <w:color w:val="FFFFFF"/>
          <w:sz w:val="18"/>
        </w:rPr>
        <w:br/>
      </w:r>
    </w:p>
    <w:p w14:paraId="7D926E6D" w14:textId="77777777" w:rsidR="006D7B53" w:rsidRPr="006D7B53" w:rsidRDefault="00000000" w:rsidP="006D7B53">
      <w:pPr>
        <w:spacing w:after="0"/>
        <w:rPr>
          <w:sz w:val="2"/>
          <w:szCs w:val="2"/>
        </w:rPr>
      </w:pPr>
      <w:r w:rsidRPr="006D7B53">
        <w:rPr>
          <w:sz w:val="2"/>
          <w:szCs w:val="2"/>
        </w:rPr>
        <w:t xml:space="preserve">  </w:t>
      </w:r>
    </w:p>
    <w:p w14:paraId="02F34890" w14:textId="2790EAF5" w:rsidR="007E13C3" w:rsidRDefault="00000000">
      <w:pPr>
        <w:shd w:val="clear" w:color="auto" w:fill="2E75B6"/>
        <w:spacing w:before="200" w:after="80"/>
      </w:pPr>
      <w:r>
        <w:rPr>
          <w:b/>
          <w:color w:val="FFFFFF"/>
          <w:sz w:val="22"/>
        </w:rPr>
        <w:t>EXECUTIVE SUMMARY</w:t>
      </w:r>
    </w:p>
    <w:p w14:paraId="3630E551" w14:textId="77777777" w:rsidR="001A51F6" w:rsidRPr="00C70F2A" w:rsidRDefault="00000000" w:rsidP="00C70F2A">
      <w:pPr>
        <w:pStyle w:val="Paragraphedeliste"/>
        <w:numPr>
          <w:ilvl w:val="0"/>
          <w:numId w:val="12"/>
        </w:numPr>
        <w:spacing w:before="80" w:after="80"/>
        <w:ind w:left="142" w:right="120" w:hanging="142"/>
        <w:jc w:val="both"/>
        <w:rPr>
          <w:color w:val="262626"/>
        </w:rPr>
      </w:pPr>
      <w:r w:rsidRPr="00C70F2A">
        <w:rPr>
          <w:b/>
          <w:bCs/>
          <w:color w:val="262626"/>
        </w:rPr>
        <w:t>Senior finance transformation professional</w:t>
      </w:r>
      <w:r w:rsidRPr="00C70F2A">
        <w:rPr>
          <w:color w:val="262626"/>
        </w:rPr>
        <w:t xml:space="preserve"> with 25+ years of experience across insurance, reinsurance and asset management. Combines consulting discipline, technical accounting depth and hands-on programme delivery across the most demanding segments of CFO-office transformation.</w:t>
      </w:r>
    </w:p>
    <w:p w14:paraId="79BB0B88" w14:textId="79C577C6" w:rsidR="001A51F6" w:rsidRPr="00C70F2A" w:rsidRDefault="00000000" w:rsidP="00C70F2A">
      <w:pPr>
        <w:pStyle w:val="Paragraphedeliste"/>
        <w:numPr>
          <w:ilvl w:val="0"/>
          <w:numId w:val="12"/>
        </w:numPr>
        <w:spacing w:before="80" w:after="80"/>
        <w:ind w:left="142" w:right="120" w:hanging="142"/>
        <w:jc w:val="both"/>
        <w:rPr>
          <w:color w:val="262626"/>
        </w:rPr>
      </w:pPr>
      <w:r w:rsidRPr="00C70F2A">
        <w:rPr>
          <w:b/>
          <w:bCs/>
          <w:color w:val="262626"/>
        </w:rPr>
        <w:t>Core expertise:</w:t>
      </w:r>
      <w:r w:rsidRPr="00C70F2A">
        <w:rPr>
          <w:color w:val="262626"/>
        </w:rPr>
        <w:t xml:space="preserve"> IFRS 9 / IFRS 17 / Solvency II implementation, investment accounting transformation, Record-to-Report (R2R) process redesign, finance operating model design, closing optimisation, regulatory reporting automation and PMO governance. Track record of senior stakeholder alignment (CFO, COO, CIO level) and go-live delivery across cloud-native SaaS and </w:t>
      </w:r>
      <w:r w:rsidR="006D7B53" w:rsidRPr="00C70F2A">
        <w:rPr>
          <w:color w:val="262626"/>
        </w:rPr>
        <w:t>on-premises</w:t>
      </w:r>
      <w:r w:rsidRPr="00C70F2A">
        <w:rPr>
          <w:color w:val="262626"/>
        </w:rPr>
        <w:t xml:space="preserve"> platforms (Clearwater Analytics, SimCorp Dimension, SAP S/4HANA, Bloomberg).</w:t>
      </w:r>
    </w:p>
    <w:p w14:paraId="4D4C18A1" w14:textId="77777777" w:rsidR="00C70F2A" w:rsidRPr="00C70F2A" w:rsidRDefault="00000000" w:rsidP="00C70F2A">
      <w:pPr>
        <w:pStyle w:val="Paragraphedeliste"/>
        <w:numPr>
          <w:ilvl w:val="0"/>
          <w:numId w:val="12"/>
        </w:numPr>
        <w:spacing w:before="80" w:after="80"/>
        <w:ind w:left="142" w:right="120" w:hanging="142"/>
        <w:jc w:val="both"/>
        <w:rPr>
          <w:color w:val="262626"/>
        </w:rPr>
      </w:pPr>
      <w:r w:rsidRPr="00C70F2A">
        <w:rPr>
          <w:color w:val="262626"/>
        </w:rPr>
        <w:t xml:space="preserve">Particularly effective in </w:t>
      </w:r>
      <w:r w:rsidRPr="00C70F2A">
        <w:rPr>
          <w:b/>
          <w:bCs/>
          <w:color w:val="262626"/>
        </w:rPr>
        <w:t>tech-enabled transformation contexts</w:t>
      </w:r>
      <w:r w:rsidRPr="00C70F2A">
        <w:rPr>
          <w:color w:val="262626"/>
        </w:rPr>
        <w:t xml:space="preserve"> — where process automation, AI-driven controls and data platform modernisation are as critical as technical accounting expertise. </w:t>
      </w:r>
    </w:p>
    <w:p w14:paraId="4A337DA6" w14:textId="7FF3B20F" w:rsidR="007E13C3" w:rsidRPr="00C70F2A" w:rsidRDefault="00000000" w:rsidP="00C70F2A">
      <w:pPr>
        <w:pStyle w:val="Paragraphedeliste"/>
        <w:numPr>
          <w:ilvl w:val="0"/>
          <w:numId w:val="12"/>
        </w:numPr>
        <w:spacing w:before="80" w:after="80"/>
        <w:ind w:left="142" w:right="120" w:hanging="142"/>
        <w:jc w:val="both"/>
        <w:rPr>
          <w:color w:val="262626"/>
        </w:rPr>
      </w:pPr>
      <w:r w:rsidRPr="00C70F2A">
        <w:rPr>
          <w:b/>
          <w:bCs/>
          <w:color w:val="262626"/>
        </w:rPr>
        <w:t>Fully bilingual EN/FR</w:t>
      </w:r>
      <w:r w:rsidRPr="00C70F2A">
        <w:rPr>
          <w:color w:val="262626"/>
        </w:rPr>
        <w:t>. Available for remote</w:t>
      </w:r>
      <w:r w:rsidR="00C70F2A" w:rsidRPr="00C70F2A">
        <w:rPr>
          <w:color w:val="262626"/>
        </w:rPr>
        <w:t xml:space="preserve"> jobs worldwide /</w:t>
      </w:r>
      <w:r w:rsidRPr="00C70F2A">
        <w:rPr>
          <w:color w:val="262626"/>
        </w:rPr>
        <w:t xml:space="preserve"> hybrid or on-site across </w:t>
      </w:r>
      <w:r w:rsidR="00C70F2A" w:rsidRPr="00C70F2A">
        <w:rPr>
          <w:color w:val="262626"/>
        </w:rPr>
        <w:t>continental Europe and UK.</w:t>
      </w:r>
    </w:p>
    <w:p w14:paraId="34683222" w14:textId="77777777" w:rsidR="007E13C3" w:rsidRDefault="00000000">
      <w:pPr>
        <w:shd w:val="clear" w:color="auto" w:fill="2E75B6"/>
        <w:spacing w:before="200" w:after="80"/>
      </w:pPr>
      <w:r>
        <w:rPr>
          <w:b/>
          <w:color w:val="FFFFFF"/>
          <w:sz w:val="22"/>
        </w:rPr>
        <w:t xml:space="preserve">  CORE KEYWORDS</w:t>
      </w:r>
    </w:p>
    <w:p w14:paraId="1C581141" w14:textId="77777777" w:rsidR="007E13C3" w:rsidRDefault="00000000">
      <w:pPr>
        <w:spacing w:before="60" w:after="60"/>
        <w:ind w:left="120" w:right="120"/>
      </w:pPr>
      <w:r>
        <w:rPr>
          <w:color w:val="262626"/>
          <w:sz w:val="18"/>
        </w:rPr>
        <w:t>Finance Transformation  |  Interim Finance Management  |  PMO  |  CFO Office  |  Programme Delivery  |  IFRS 9  |  IFRS 17  |  Solvency II  |  Investment Accounting  |  Record to Report (R2R)  |  Process Automation  |  Process Optimisation  |  Intelligent Automation  |  Tech-Enabled Transformation  |  Target Operating Model  |  Closing Optimisation  |  Regulatory Reporting  |  SaaS / Cloud Finance Platforms  |  Data Management  |  UAT Management  |  Data Migration  |  Go-live Support  |  SimCorp Dimension  |  Clearwater Analytics  |  SAP S/4HANA  |  SAP BFC  |  Bloomberg  |  Power BI  |  SAS  |  Python  |  VBA  |  SQL / Databases</w:t>
      </w:r>
    </w:p>
    <w:p w14:paraId="799AA85A" w14:textId="77777777" w:rsidR="007E13C3" w:rsidRDefault="00000000">
      <w:pPr>
        <w:shd w:val="clear" w:color="auto" w:fill="2E75B6"/>
        <w:spacing w:before="200" w:after="80"/>
      </w:pPr>
      <w:r>
        <w:rPr>
          <w:b/>
          <w:color w:val="FFFFFF"/>
          <w:sz w:val="22"/>
        </w:rPr>
        <w:t xml:space="preserve">  PROFESSIONAL EXPERIENCE</w:t>
      </w:r>
    </w:p>
    <w:p w14:paraId="3D39784F" w14:textId="77777777" w:rsidR="007E13C3" w:rsidRDefault="00000000">
      <w:pPr>
        <w:spacing w:before="160" w:after="30"/>
      </w:pPr>
      <w:r>
        <w:rPr>
          <w:b/>
          <w:color w:val="1F3864"/>
          <w:sz w:val="21"/>
        </w:rPr>
        <w:t>Clearwater Analytics</w:t>
      </w:r>
      <w:r>
        <w:rPr>
          <w:color w:val="595959"/>
        </w:rPr>
        <w:t xml:space="preserve">  ·  Nov 2024 – Apr 2026  (18 months)</w:t>
      </w:r>
    </w:p>
    <w:p w14:paraId="60C95307" w14:textId="77777777" w:rsidR="007E13C3" w:rsidRDefault="00000000">
      <w:pPr>
        <w:spacing w:after="60"/>
      </w:pPr>
      <w:r>
        <w:rPr>
          <w:b/>
          <w:i/>
          <w:color w:val="2E75B6"/>
        </w:rPr>
        <w:t>Senior Programme Manager — Cloud-Native Investment Platform &amp; Finance Automation</w:t>
      </w:r>
    </w:p>
    <w:p w14:paraId="268315B3" w14:textId="77777777" w:rsidR="007E13C3" w:rsidRDefault="00000000" w:rsidP="006D7B53">
      <w:pPr>
        <w:pStyle w:val="Listepuces"/>
        <w:spacing w:before="30" w:after="30"/>
        <w:ind w:hanging="180"/>
        <w:jc w:val="both"/>
      </w:pPr>
      <w:r>
        <w:rPr>
          <w:color w:val="262626"/>
        </w:rPr>
        <w:t xml:space="preserve">Led end-to-end delivery of a </w:t>
      </w:r>
      <w:r>
        <w:rPr>
          <w:b/>
          <w:color w:val="262626"/>
        </w:rPr>
        <w:t>Clearwater Analytics SaaS</w:t>
      </w:r>
      <w:r>
        <w:rPr>
          <w:color w:val="262626"/>
        </w:rPr>
        <w:t xml:space="preserve"> platform for a French reinsurer (</w:t>
      </w:r>
      <w:r>
        <w:rPr>
          <w:b/>
          <w:color w:val="262626"/>
        </w:rPr>
        <w:t>€11bn AUM</w:t>
      </w:r>
      <w:r>
        <w:rPr>
          <w:color w:val="262626"/>
        </w:rPr>
        <w:t xml:space="preserve">: fixed income, TCN, listed funds, closed-end funds), replacing a legacy </w:t>
      </w:r>
      <w:r>
        <w:rPr>
          <w:b/>
          <w:color w:val="262626"/>
        </w:rPr>
        <w:t>Linedata Chorus</w:t>
      </w:r>
      <w:r>
        <w:rPr>
          <w:color w:val="262626"/>
        </w:rPr>
        <w:t xml:space="preserve"> system — the second complete Chorus replacement in this career (first: Chorus → SimCorp Dimension at SCOR IP, 2008–2012).</w:t>
      </w:r>
    </w:p>
    <w:p w14:paraId="0DE44BEC" w14:textId="77777777" w:rsidR="007E13C3" w:rsidRDefault="00000000" w:rsidP="006D7B53">
      <w:pPr>
        <w:pStyle w:val="Listepuces"/>
        <w:spacing w:before="30" w:after="30"/>
        <w:ind w:hanging="180"/>
        <w:jc w:val="both"/>
      </w:pPr>
      <w:r>
        <w:rPr>
          <w:color w:val="262626"/>
        </w:rPr>
        <w:t xml:space="preserve">Delivered full </w:t>
      </w:r>
      <w:r>
        <w:rPr>
          <w:b/>
          <w:color w:val="262626"/>
        </w:rPr>
        <w:t>straight-through processing (STP)</w:t>
      </w:r>
      <w:r>
        <w:rPr>
          <w:color w:val="262626"/>
        </w:rPr>
        <w:t xml:space="preserve"> across the investment value chain: order management → accounting production → Solvency II regulatory reporting — eliminating manual re-entry across Front Office, Middle Office, Back Office and IT.</w:t>
      </w:r>
    </w:p>
    <w:p w14:paraId="0A4152B0" w14:textId="77777777" w:rsidR="007E13C3" w:rsidRDefault="00000000" w:rsidP="006D7B53">
      <w:pPr>
        <w:pStyle w:val="Listepuces"/>
        <w:spacing w:before="30" w:after="30"/>
        <w:ind w:hanging="180"/>
        <w:jc w:val="both"/>
      </w:pPr>
      <w:r>
        <w:rPr>
          <w:color w:val="262626"/>
        </w:rPr>
        <w:t xml:space="preserve">Automated custodian and bank reconciliation: frequency increased from </w:t>
      </w:r>
      <w:r>
        <w:rPr>
          <w:b/>
          <w:color w:val="262626"/>
        </w:rPr>
        <w:t>weekly to daily</w:t>
      </w:r>
      <w:r>
        <w:rPr>
          <w:color w:val="262626"/>
        </w:rPr>
        <w:t xml:space="preserve">; deployed </w:t>
      </w:r>
      <w:r>
        <w:rPr>
          <w:b/>
          <w:color w:val="262626"/>
        </w:rPr>
        <w:t>AI-assisted tripartite reconciliation</w:t>
      </w:r>
      <w:r>
        <w:rPr>
          <w:color w:val="262626"/>
        </w:rPr>
        <w:t xml:space="preserve"> (Front Office / Back Office / custodian) with automated discrepancy pre-diagnosis.</w:t>
      </w:r>
    </w:p>
    <w:p w14:paraId="070DD506" w14:textId="77777777" w:rsidR="007E13C3" w:rsidRDefault="00000000" w:rsidP="006D7B53">
      <w:pPr>
        <w:pStyle w:val="Listepuces"/>
        <w:spacing w:before="30" w:after="30"/>
        <w:ind w:hanging="180"/>
        <w:jc w:val="both"/>
      </w:pPr>
      <w:r>
        <w:rPr>
          <w:color w:val="262626"/>
        </w:rPr>
        <w:t xml:space="preserve">Implemented </w:t>
      </w:r>
      <w:r>
        <w:rPr>
          <w:b/>
          <w:color w:val="262626"/>
        </w:rPr>
        <w:t>AI-powered control framework</w:t>
      </w:r>
      <w:r>
        <w:rPr>
          <w:color w:val="262626"/>
        </w:rPr>
        <w:t>: price-variation monitoring, input reception controls, and AI-driven automated processing of closed-end fund instructions (capital calls, monthly NAV valuations).</w:t>
      </w:r>
    </w:p>
    <w:p w14:paraId="38B20BAA" w14:textId="77777777" w:rsidR="007E13C3" w:rsidRDefault="00000000" w:rsidP="006D7B53">
      <w:pPr>
        <w:pStyle w:val="Listepuces"/>
        <w:spacing w:before="30" w:after="30"/>
        <w:ind w:hanging="180"/>
        <w:jc w:val="both"/>
      </w:pPr>
      <w:r>
        <w:rPr>
          <w:color w:val="262626"/>
        </w:rPr>
        <w:t xml:space="preserve">Reduced closing cycle from </w:t>
      </w:r>
      <w:r>
        <w:rPr>
          <w:b/>
          <w:color w:val="262626"/>
        </w:rPr>
        <w:t>D+4 to D+2</w:t>
      </w:r>
      <w:r>
        <w:rPr>
          <w:color w:val="262626"/>
        </w:rPr>
        <w:t xml:space="preserve"> through end-to-end process automation and STP architecture.</w:t>
      </w:r>
    </w:p>
    <w:p w14:paraId="21765359" w14:textId="77777777" w:rsidR="007E13C3" w:rsidRDefault="00000000" w:rsidP="006D7B53">
      <w:pPr>
        <w:pStyle w:val="Listepuces"/>
        <w:spacing w:before="30" w:after="30"/>
        <w:ind w:hanging="180"/>
        <w:jc w:val="both"/>
      </w:pPr>
      <w:r>
        <w:rPr>
          <w:color w:val="262626"/>
        </w:rPr>
        <w:t>Multi-module implementation: CW CORE (portfolio analytics), OMS/Jump (order management), LPx (private equity); integrations to Bloomberg TSOX, Bloomberg Data License, CODA (GL), Solvency II reporting systems.</w:t>
      </w:r>
    </w:p>
    <w:p w14:paraId="536847F6" w14:textId="77777777" w:rsidR="007E13C3" w:rsidRDefault="00000000" w:rsidP="006D7B53">
      <w:pPr>
        <w:pStyle w:val="Listepuces"/>
        <w:spacing w:before="30" w:after="30"/>
        <w:ind w:hanging="180"/>
        <w:jc w:val="both"/>
      </w:pPr>
      <w:r>
        <w:rPr>
          <w:color w:val="262626"/>
        </w:rPr>
        <w:t>Programme governance: C-suite Sponsor Committees (monthly), RAID log (10+ critical risks), bilingual EN/FR SteerCo; steered OMS/Jump go-live (Dec 2025) and full Hypercare period; managed multi-phase UAT and security master onboarding.</w:t>
      </w:r>
    </w:p>
    <w:p w14:paraId="629D7EE8" w14:textId="77777777" w:rsidR="007E13C3" w:rsidRDefault="007E13C3">
      <w:pPr>
        <w:pBdr>
          <w:bottom w:val="single" w:sz="4" w:space="1" w:color="D6E4F0"/>
        </w:pBdr>
        <w:spacing w:after="0" w:line="240" w:lineRule="auto"/>
      </w:pPr>
    </w:p>
    <w:p w14:paraId="4F1A829E" w14:textId="77777777" w:rsidR="007E13C3" w:rsidRDefault="00000000">
      <w:pPr>
        <w:spacing w:before="160" w:after="30"/>
      </w:pPr>
      <w:r>
        <w:rPr>
          <w:b/>
          <w:color w:val="1F3864"/>
          <w:sz w:val="21"/>
        </w:rPr>
        <w:t>Coface Group  —  Group Finance</w:t>
      </w:r>
      <w:r>
        <w:rPr>
          <w:color w:val="595959"/>
        </w:rPr>
        <w:t xml:space="preserve">  ·  May 2017 – May 2018  +  Jan 2020 – Oct 2024  (5 years)</w:t>
      </w:r>
    </w:p>
    <w:p w14:paraId="4711B64C" w14:textId="77777777" w:rsidR="007E13C3" w:rsidRDefault="00000000">
      <w:pPr>
        <w:spacing w:after="60"/>
      </w:pPr>
      <w:r>
        <w:rPr>
          <w:b/>
          <w:i/>
          <w:color w:val="2E75B6"/>
        </w:rPr>
        <w:t>Group Head of Investment Accounting  /  IFRS 9 Project Manager</w:t>
      </w:r>
    </w:p>
    <w:p w14:paraId="0D8B65B8" w14:textId="77777777" w:rsidR="007E13C3" w:rsidRDefault="00000000" w:rsidP="006D7B53">
      <w:pPr>
        <w:spacing w:before="80" w:after="20"/>
        <w:ind w:left="180"/>
        <w:jc w:val="both"/>
      </w:pPr>
      <w:r>
        <w:rPr>
          <w:b/>
          <w:color w:val="2E75B6"/>
        </w:rPr>
        <w:t>Group Head of Investment Accounting  (Jan 2023 – Oct 2024)</w:t>
      </w:r>
    </w:p>
    <w:p w14:paraId="37C9EABB" w14:textId="77777777" w:rsidR="007E13C3" w:rsidRDefault="00000000" w:rsidP="006D7B53">
      <w:pPr>
        <w:pStyle w:val="Listepuces"/>
        <w:spacing w:before="30" w:after="30"/>
        <w:ind w:hanging="180"/>
        <w:jc w:val="both"/>
      </w:pPr>
      <w:r>
        <w:rPr>
          <w:color w:val="262626"/>
        </w:rPr>
        <w:t xml:space="preserve">Led investment accounting function for a </w:t>
      </w:r>
      <w:r>
        <w:rPr>
          <w:b/>
          <w:color w:val="262626"/>
        </w:rPr>
        <w:t>~€3bn group investment portfolio</w:t>
      </w:r>
      <w:r>
        <w:rPr>
          <w:color w:val="262626"/>
        </w:rPr>
        <w:t xml:space="preserve"> outsourced to CACEIS (Neoxam GP3/GP4 platform), overseeing </w:t>
      </w:r>
      <w:r>
        <w:rPr>
          <w:b/>
          <w:color w:val="262626"/>
        </w:rPr>
        <w:t>~20 international entities</w:t>
      </w:r>
      <w:r>
        <w:rPr>
          <w:color w:val="262626"/>
        </w:rPr>
        <w:t>.</w:t>
      </w:r>
    </w:p>
    <w:p w14:paraId="583EEC30" w14:textId="77777777" w:rsidR="007E13C3" w:rsidRDefault="00000000" w:rsidP="006D7B53">
      <w:pPr>
        <w:pStyle w:val="Listepuces"/>
        <w:spacing w:before="30" w:after="30"/>
        <w:ind w:hanging="180"/>
        <w:jc w:val="both"/>
      </w:pPr>
      <w:r>
        <w:rPr>
          <w:color w:val="262626"/>
        </w:rPr>
        <w:t xml:space="preserve">Industrialised the </w:t>
      </w:r>
      <w:r>
        <w:rPr>
          <w:b/>
          <w:color w:val="262626"/>
        </w:rPr>
        <w:t>Record-to-Report process</w:t>
      </w:r>
      <w:r>
        <w:rPr>
          <w:color w:val="262626"/>
        </w:rPr>
        <w:t xml:space="preserve"> through a multi-tool automation programme: </w:t>
      </w:r>
      <w:r>
        <w:rPr>
          <w:b/>
          <w:color w:val="262626"/>
        </w:rPr>
        <w:t>Power Query</w:t>
      </w:r>
      <w:r>
        <w:rPr>
          <w:color w:val="262626"/>
        </w:rPr>
        <w:t xml:space="preserve"> workflows for monthly CACEIS data (accounting/management reconciliation, SAP/CACEIS reconciliation, FX analysis, price-</w:t>
      </w:r>
      <w:r>
        <w:rPr>
          <w:color w:val="262626"/>
        </w:rPr>
        <w:lastRenderedPageBreak/>
        <w:t xml:space="preserve">variation controls); </w:t>
      </w:r>
      <w:r>
        <w:rPr>
          <w:b/>
          <w:color w:val="262626"/>
        </w:rPr>
        <w:t>VBA macros</w:t>
      </w:r>
      <w:r>
        <w:rPr>
          <w:color w:val="262626"/>
        </w:rPr>
        <w:t xml:space="preserve"> for GP3→SAP YFI format conversion (2 dedicated funds); </w:t>
      </w:r>
      <w:r>
        <w:rPr>
          <w:b/>
          <w:color w:val="262626"/>
        </w:rPr>
        <w:t>SAP FC Publisher</w:t>
      </w:r>
      <w:r>
        <w:rPr>
          <w:color w:val="262626"/>
        </w:rPr>
        <w:t xml:space="preserve"> automation for BFC consolidation queries across all entities.</w:t>
      </w:r>
    </w:p>
    <w:p w14:paraId="00F7C8A1" w14:textId="77777777" w:rsidR="007E13C3" w:rsidRDefault="00000000" w:rsidP="006D7B53">
      <w:pPr>
        <w:pStyle w:val="Listepuces"/>
        <w:spacing w:before="30" w:after="30"/>
        <w:ind w:hanging="180"/>
        <w:jc w:val="both"/>
      </w:pPr>
      <w:r>
        <w:rPr>
          <w:color w:val="262626"/>
        </w:rPr>
        <w:t xml:space="preserve">Automated SAP S/4HANA investment interfaces and SAP→SAP BFC reporting chain, reducing closing timeline from </w:t>
      </w:r>
      <w:r>
        <w:rPr>
          <w:b/>
          <w:color w:val="262626"/>
        </w:rPr>
        <w:t>D+5 to D+3</w:t>
      </w:r>
      <w:r>
        <w:rPr>
          <w:color w:val="262626"/>
        </w:rPr>
        <w:t xml:space="preserve"> and significantly cutting manual workload across group entities.</w:t>
      </w:r>
    </w:p>
    <w:p w14:paraId="3CD87E23" w14:textId="77777777" w:rsidR="007E13C3" w:rsidRDefault="00000000" w:rsidP="006D7B53">
      <w:pPr>
        <w:pStyle w:val="Listepuces"/>
        <w:spacing w:before="30" w:after="30"/>
        <w:ind w:hanging="180"/>
        <w:jc w:val="both"/>
      </w:pPr>
      <w:r>
        <w:rPr>
          <w:color w:val="262626"/>
        </w:rPr>
        <w:t xml:space="preserve">Delivered a consolidated </w:t>
      </w:r>
      <w:r>
        <w:rPr>
          <w:b/>
          <w:color w:val="262626"/>
        </w:rPr>
        <w:t>Power BI</w:t>
      </w:r>
      <w:r>
        <w:rPr>
          <w:color w:val="262626"/>
        </w:rPr>
        <w:t xml:space="preserve"> investment dashboard for CXO-level reporting, replacing manual reporting processes.</w:t>
      </w:r>
    </w:p>
    <w:p w14:paraId="3D96471A" w14:textId="77777777" w:rsidR="007E13C3" w:rsidRDefault="00000000">
      <w:pPr>
        <w:spacing w:before="80" w:after="20"/>
        <w:ind w:left="180"/>
      </w:pPr>
      <w:r>
        <w:rPr>
          <w:b/>
          <w:color w:val="2E75B6"/>
        </w:rPr>
        <w:t>IFRS 9 Project Manager  (Jan 2020 – Dec 2022)</w:t>
      </w:r>
    </w:p>
    <w:p w14:paraId="49328184" w14:textId="77777777" w:rsidR="007E13C3" w:rsidRDefault="00000000" w:rsidP="006D7B53">
      <w:pPr>
        <w:pStyle w:val="Listepuces"/>
        <w:spacing w:before="30" w:after="30"/>
        <w:ind w:hanging="180"/>
        <w:jc w:val="both"/>
      </w:pPr>
      <w:r>
        <w:rPr>
          <w:color w:val="262626"/>
        </w:rPr>
        <w:t>Led Finance workstreams for Coface's IFRS 9 implementation — investment accounting, ECL provisioning model, data migration and close process redesign.</w:t>
      </w:r>
    </w:p>
    <w:p w14:paraId="319F9353" w14:textId="77777777" w:rsidR="007E13C3" w:rsidRDefault="00000000" w:rsidP="006D7B53">
      <w:pPr>
        <w:pStyle w:val="Listepuces"/>
        <w:spacing w:before="30" w:after="30"/>
        <w:ind w:hanging="180"/>
        <w:jc w:val="both"/>
      </w:pPr>
      <w:r>
        <w:rPr>
          <w:color w:val="262626"/>
        </w:rPr>
        <w:t xml:space="preserve">Designed the </w:t>
      </w:r>
      <w:r>
        <w:rPr>
          <w:b/>
          <w:color w:val="262626"/>
        </w:rPr>
        <w:t>ECL (Expected Credit Loss) model</w:t>
      </w:r>
      <w:r>
        <w:rPr>
          <w:color w:val="262626"/>
        </w:rPr>
        <w:t xml:space="preserve"> end-to-end: methodology based on external risk matrices, implemented in </w:t>
      </w:r>
      <w:r>
        <w:rPr>
          <w:b/>
          <w:color w:val="262626"/>
        </w:rPr>
        <w:t>SAS</w:t>
      </w:r>
      <w:r>
        <w:rPr>
          <w:color w:val="262626"/>
        </w:rPr>
        <w:t>, Finance as sole owner. Established monthly variance analysis in post-production. Oversaw UAT and proof-of-concept phases.</w:t>
      </w:r>
    </w:p>
    <w:p w14:paraId="51E39FFB" w14:textId="77777777" w:rsidR="007E13C3" w:rsidRDefault="00000000" w:rsidP="006D7B53">
      <w:pPr>
        <w:pStyle w:val="Listepuces"/>
        <w:spacing w:before="30" w:after="30"/>
        <w:ind w:hanging="180"/>
        <w:jc w:val="both"/>
      </w:pPr>
      <w:r>
        <w:rPr>
          <w:color w:val="262626"/>
        </w:rPr>
        <w:t>Validated transition accounting schemes; redesigned close calendar under IFRS 9; developed automated control tools.</w:t>
      </w:r>
    </w:p>
    <w:p w14:paraId="247D4F4E" w14:textId="77777777" w:rsidR="007E13C3" w:rsidRDefault="00000000">
      <w:pPr>
        <w:spacing w:before="80" w:after="20"/>
        <w:ind w:left="180"/>
      </w:pPr>
      <w:r>
        <w:rPr>
          <w:b/>
          <w:color w:val="2E75B6"/>
        </w:rPr>
        <w:t>First assignment  (May 2017 – May 2018)</w:t>
      </w:r>
    </w:p>
    <w:p w14:paraId="7658251F" w14:textId="0F71ED33" w:rsidR="007E13C3" w:rsidRPr="006D7B53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Head of Technical Accounting — investment accounting production, regulatory reporting, </w:t>
      </w:r>
      <w:r w:rsidR="006D7B53">
        <w:rPr>
          <w:color w:val="262626"/>
        </w:rPr>
        <w:t>TOM</w:t>
      </w:r>
      <w:r>
        <w:rPr>
          <w:color w:val="262626"/>
        </w:rPr>
        <w:t xml:space="preserve"> redesign.</w:t>
      </w:r>
    </w:p>
    <w:p w14:paraId="08656896" w14:textId="6DD0E8A6" w:rsidR="006D7B53" w:rsidRDefault="006D7B53">
      <w:pPr>
        <w:pStyle w:val="Listepuces"/>
        <w:spacing w:before="30" w:after="30"/>
        <w:ind w:hanging="180"/>
      </w:pPr>
      <w:r>
        <w:t xml:space="preserve">Designed a shared investment data platform in SAS, covering data sourcing, data model architecture, quality controls, data governance and management reporting; the platform </w:t>
      </w:r>
      <w:r w:rsidR="00C97B35">
        <w:t>served as the backbone for all subsequent investment analytics work, including the IFRS 9 ECL model deployed in 2020.</w:t>
      </w:r>
    </w:p>
    <w:p w14:paraId="2E950289" w14:textId="77777777" w:rsidR="007E13C3" w:rsidRDefault="007E13C3">
      <w:pPr>
        <w:pBdr>
          <w:bottom w:val="single" w:sz="4" w:space="1" w:color="D6E4F0"/>
        </w:pBdr>
        <w:spacing w:after="0" w:line="240" w:lineRule="auto"/>
      </w:pPr>
    </w:p>
    <w:p w14:paraId="258F0761" w14:textId="77777777" w:rsidR="007E13C3" w:rsidRDefault="00000000">
      <w:pPr>
        <w:spacing w:before="160" w:after="30"/>
      </w:pPr>
      <w:r>
        <w:rPr>
          <w:b/>
          <w:color w:val="1F3864"/>
          <w:sz w:val="21"/>
        </w:rPr>
        <w:t>AXA XL  —  P&amp;C Finance</w:t>
      </w:r>
      <w:r>
        <w:rPr>
          <w:color w:val="595959"/>
        </w:rPr>
        <w:t xml:space="preserve">  ·  May 2018 – Jul 2019  (15 months)</w:t>
      </w:r>
    </w:p>
    <w:p w14:paraId="7B1AE442" w14:textId="77777777" w:rsidR="007E13C3" w:rsidRDefault="00000000">
      <w:pPr>
        <w:spacing w:after="60"/>
      </w:pPr>
      <w:r>
        <w:rPr>
          <w:b/>
          <w:i/>
          <w:color w:val="2E75B6"/>
        </w:rPr>
        <w:t>Finance Stream Leader — IFRS 9 / IFRS 17 / Solvency II</w:t>
      </w:r>
    </w:p>
    <w:p w14:paraId="51B3B7E1" w14:textId="77777777" w:rsidR="007E13C3" w:rsidRDefault="00000000" w:rsidP="001A51F6">
      <w:pPr>
        <w:pStyle w:val="Listepuces"/>
        <w:spacing w:before="30" w:after="30"/>
        <w:ind w:hanging="180"/>
        <w:jc w:val="both"/>
      </w:pPr>
      <w:r>
        <w:rPr>
          <w:color w:val="262626"/>
        </w:rPr>
        <w:t>Led Finance impact assessment and implementation workstreams for a combined IFRS 9, IFRS 17 and Solvency II transformation within an AXA P&amp;C entity.</w:t>
      </w:r>
    </w:p>
    <w:p w14:paraId="76A20EF9" w14:textId="77777777" w:rsidR="007E13C3" w:rsidRDefault="00000000" w:rsidP="001A51F6">
      <w:pPr>
        <w:pStyle w:val="Listepuces"/>
        <w:spacing w:before="30" w:after="30"/>
        <w:ind w:hanging="180"/>
        <w:jc w:val="both"/>
      </w:pPr>
      <w:r>
        <w:rPr>
          <w:color w:val="262626"/>
        </w:rPr>
        <w:t xml:space="preserve">IFRS 17: confirmed </w:t>
      </w:r>
      <w:r>
        <w:rPr>
          <w:b/>
          <w:color w:val="262626"/>
        </w:rPr>
        <w:t>PAA (Premium Allocation Approach)</w:t>
      </w:r>
      <w:r>
        <w:rPr>
          <w:color w:val="262626"/>
        </w:rPr>
        <w:t xml:space="preserve"> eligibility across all contract families (coverage ≤ 1 year). Delivered IFRS 17 dry-run close at 31 Dec 2017 using </w:t>
      </w:r>
      <w:r>
        <w:rPr>
          <w:b/>
          <w:color w:val="262626"/>
        </w:rPr>
        <w:t>SAS-based internal model</w:t>
      </w:r>
      <w:r>
        <w:rPr>
          <w:color w:val="262626"/>
        </w:rPr>
        <w:t xml:space="preserve"> (derived from AXA Group model): quantified ~€25m equity transition adjustment and ~1.5ppt combined ratio variance across </w:t>
      </w:r>
      <w:r>
        <w:rPr>
          <w:b/>
          <w:color w:val="262626"/>
        </w:rPr>
        <w:t>8 lines of business</w:t>
      </w:r>
      <w:r>
        <w:rPr>
          <w:color w:val="262626"/>
        </w:rPr>
        <w:t>.</w:t>
      </w:r>
    </w:p>
    <w:p w14:paraId="4225574D" w14:textId="77777777" w:rsidR="007E13C3" w:rsidRDefault="00000000" w:rsidP="001A51F6">
      <w:pPr>
        <w:pStyle w:val="Listepuces"/>
        <w:spacing w:before="30" w:after="30"/>
        <w:ind w:hanging="180"/>
        <w:jc w:val="both"/>
      </w:pPr>
      <w:r>
        <w:rPr>
          <w:color w:val="262626"/>
        </w:rPr>
        <w:t>Defined Target Operating Model: organisation, processes, accounting tools and reporting architecture under the new standards.</w:t>
      </w:r>
    </w:p>
    <w:p w14:paraId="2D92ED94" w14:textId="74B90377" w:rsidR="007E13C3" w:rsidRDefault="00000000" w:rsidP="001A51F6">
      <w:pPr>
        <w:pStyle w:val="Listepuces"/>
        <w:spacing w:before="30" w:after="30"/>
        <w:ind w:hanging="180"/>
        <w:jc w:val="both"/>
      </w:pPr>
      <w:r>
        <w:rPr>
          <w:color w:val="262626"/>
        </w:rPr>
        <w:t>Supervised Solvency II QRT reporting (</w:t>
      </w:r>
      <w:r>
        <w:rPr>
          <w:b/>
          <w:color w:val="262626"/>
        </w:rPr>
        <w:t>Invoke</w:t>
      </w:r>
      <w:r>
        <w:rPr>
          <w:color w:val="262626"/>
        </w:rPr>
        <w:t>); contributed to ORSA, RSR and SFCR deliverables. Co-led steering committees; coordinated Finance, Actuarial, Risk, Reinsurance, IT and external audit.</w:t>
      </w:r>
    </w:p>
    <w:p w14:paraId="78B120FA" w14:textId="77777777" w:rsidR="007E13C3" w:rsidRDefault="007E13C3">
      <w:pPr>
        <w:pBdr>
          <w:bottom w:val="single" w:sz="4" w:space="1" w:color="D6E4F0"/>
        </w:pBdr>
        <w:spacing w:after="0" w:line="240" w:lineRule="auto"/>
      </w:pPr>
    </w:p>
    <w:p w14:paraId="3E4B0B56" w14:textId="77777777" w:rsidR="007E13C3" w:rsidRDefault="00000000">
      <w:pPr>
        <w:spacing w:before="160" w:after="30"/>
      </w:pPr>
      <w:r>
        <w:rPr>
          <w:b/>
          <w:color w:val="1F3864"/>
          <w:sz w:val="21"/>
        </w:rPr>
        <w:t>CNP Assurances</w:t>
      </w:r>
      <w:r>
        <w:rPr>
          <w:color w:val="595959"/>
        </w:rPr>
        <w:t xml:space="preserve">  ·  May 2013 – May 2018  (5 years)</w:t>
      </w:r>
    </w:p>
    <w:p w14:paraId="5FFEA71A" w14:textId="77777777" w:rsidR="007E13C3" w:rsidRDefault="00000000">
      <w:pPr>
        <w:spacing w:after="60"/>
      </w:pPr>
      <w:r>
        <w:rPr>
          <w:b/>
          <w:i/>
          <w:color w:val="2E75B6"/>
        </w:rPr>
        <w:t>Lead Business Owner — SimCorp Dimension  /  Head of Financial Production &amp; Solvency II</w:t>
      </w:r>
    </w:p>
    <w:p w14:paraId="475D6783" w14:textId="77777777" w:rsidR="007E13C3" w:rsidRDefault="00000000" w:rsidP="001A51F6">
      <w:pPr>
        <w:pStyle w:val="Listepuces"/>
        <w:spacing w:before="30" w:after="30"/>
        <w:ind w:hanging="180"/>
        <w:jc w:val="both"/>
      </w:pPr>
      <w:r>
        <w:rPr>
          <w:color w:val="262626"/>
        </w:rPr>
        <w:t xml:space="preserve">Acted as Lead Business Owner for </w:t>
      </w:r>
      <w:r>
        <w:rPr>
          <w:b/>
          <w:color w:val="262626"/>
        </w:rPr>
        <w:t>SimCorp Dimension</w:t>
      </w:r>
      <w:r>
        <w:rPr>
          <w:color w:val="262626"/>
        </w:rPr>
        <w:t xml:space="preserve"> implementation at one of France's largest life insurers — covering </w:t>
      </w:r>
      <w:r>
        <w:rPr>
          <w:b/>
          <w:color w:val="262626"/>
        </w:rPr>
        <w:t>~€350bn in investment assets</w:t>
      </w:r>
      <w:r>
        <w:rPr>
          <w:color w:val="262626"/>
        </w:rPr>
        <w:t>, one of the largest SimCorp implementations in Europe.</w:t>
      </w:r>
    </w:p>
    <w:p w14:paraId="6558E8F9" w14:textId="77777777" w:rsidR="007E13C3" w:rsidRDefault="00000000" w:rsidP="001A51F6">
      <w:pPr>
        <w:pStyle w:val="Listepuces"/>
        <w:spacing w:before="30" w:after="30"/>
        <w:ind w:hanging="180"/>
        <w:jc w:val="both"/>
      </w:pPr>
      <w:r>
        <w:rPr>
          <w:color w:val="262626"/>
        </w:rPr>
        <w:t>Drove the entire business workstream: functional design, accounting entries (unit-linked, fixed income, equities), controls, Solvency II reporting architecture, testing, data migration and go-live readiness.</w:t>
      </w:r>
    </w:p>
    <w:p w14:paraId="1EEE973D" w14:textId="77777777" w:rsidR="007E13C3" w:rsidRDefault="00000000" w:rsidP="001A51F6">
      <w:pPr>
        <w:pStyle w:val="Listepuces"/>
        <w:spacing w:before="30" w:after="30"/>
        <w:ind w:hanging="180"/>
        <w:jc w:val="both"/>
      </w:pPr>
      <w:r>
        <w:rPr>
          <w:color w:val="262626"/>
        </w:rPr>
        <w:t xml:space="preserve">Head of Financial Production &amp; Solvency II Unit (May–Dec 2013): managed 5-person team. Significantly enhanced the </w:t>
      </w:r>
      <w:r>
        <w:rPr>
          <w:b/>
          <w:color w:val="262626"/>
        </w:rPr>
        <w:t>P&amp;L Forecast model</w:t>
      </w:r>
      <w:r>
        <w:rPr>
          <w:color w:val="262626"/>
        </w:rPr>
        <w:t xml:space="preserve"> — introduced bond reinvestment assumptions (duration/rate), inflation modelling for index-linked bonds, equity return assumptions; extended forecast perimeter to private equity, real estate and land assets. Initiated migration roadmap from legacy </w:t>
      </w:r>
      <w:r>
        <w:rPr>
          <w:b/>
          <w:color w:val="262626"/>
        </w:rPr>
        <w:t>Access</w:t>
      </w:r>
      <w:r>
        <w:rPr>
          <w:color w:val="262626"/>
        </w:rPr>
        <w:t xml:space="preserve"> tools toward </w:t>
      </w:r>
      <w:r>
        <w:rPr>
          <w:b/>
          <w:color w:val="262626"/>
        </w:rPr>
        <w:t>SAS</w:t>
      </w:r>
      <w:r>
        <w:rPr>
          <w:color w:val="262626"/>
        </w:rPr>
        <w:t xml:space="preserve"> (calculation engine) and </w:t>
      </w:r>
      <w:r>
        <w:rPr>
          <w:b/>
          <w:color w:val="262626"/>
        </w:rPr>
        <w:t>QlikView</w:t>
      </w:r>
      <w:r>
        <w:rPr>
          <w:color w:val="262626"/>
        </w:rPr>
        <w:t xml:space="preserve"> (management dashboards).</w:t>
      </w:r>
    </w:p>
    <w:p w14:paraId="422CBF86" w14:textId="77777777" w:rsidR="007E13C3" w:rsidRDefault="00000000" w:rsidP="001A51F6">
      <w:pPr>
        <w:pStyle w:val="Listepuces"/>
        <w:spacing w:before="30" w:after="30"/>
        <w:ind w:hanging="180"/>
        <w:jc w:val="both"/>
      </w:pPr>
      <w:r>
        <w:rPr>
          <w:color w:val="262626"/>
        </w:rPr>
        <w:t>Supported Fast Close initiative; SME on accounting workstreams: cut-off, unit-linked portfolios, accounting/management reconciliation.</w:t>
      </w:r>
    </w:p>
    <w:p w14:paraId="49BC52A4" w14:textId="77777777" w:rsidR="007E13C3" w:rsidRDefault="007E13C3">
      <w:pPr>
        <w:pBdr>
          <w:bottom w:val="single" w:sz="4" w:space="1" w:color="D6E4F0"/>
        </w:pBdr>
        <w:spacing w:after="0" w:line="240" w:lineRule="auto"/>
      </w:pPr>
    </w:p>
    <w:p w14:paraId="22993E9A" w14:textId="77777777" w:rsidR="00C97B35" w:rsidRDefault="00C97B35">
      <w:pPr>
        <w:rPr>
          <w:b/>
          <w:color w:val="1F3864"/>
          <w:sz w:val="21"/>
        </w:rPr>
      </w:pPr>
      <w:r>
        <w:rPr>
          <w:b/>
          <w:color w:val="1F3864"/>
          <w:sz w:val="21"/>
        </w:rPr>
        <w:br w:type="page"/>
      </w:r>
    </w:p>
    <w:p w14:paraId="58BB4B0C" w14:textId="027A22E4" w:rsidR="007E13C3" w:rsidRDefault="00000000">
      <w:pPr>
        <w:spacing w:before="160" w:after="30"/>
      </w:pPr>
      <w:proofErr w:type="spellStart"/>
      <w:r>
        <w:rPr>
          <w:b/>
          <w:color w:val="1F3864"/>
          <w:sz w:val="21"/>
        </w:rPr>
        <w:lastRenderedPageBreak/>
        <w:t>Primexis</w:t>
      </w:r>
      <w:proofErr w:type="spellEnd"/>
      <w:r>
        <w:rPr>
          <w:b/>
          <w:color w:val="1F3864"/>
          <w:sz w:val="21"/>
        </w:rPr>
        <w:t xml:space="preserve">  —  CFO Advisory  /  SCOR Investment Partners</w:t>
      </w:r>
      <w:r>
        <w:rPr>
          <w:color w:val="595959"/>
        </w:rPr>
        <w:t xml:space="preserve">  ·  Oct 2008 – Apr 2013  (4.5 years)</w:t>
      </w:r>
    </w:p>
    <w:p w14:paraId="243AF3A9" w14:textId="77777777" w:rsidR="007E13C3" w:rsidRDefault="00000000">
      <w:pPr>
        <w:spacing w:after="60"/>
      </w:pPr>
      <w:r>
        <w:rPr>
          <w:b/>
          <w:i/>
          <w:color w:val="2E75B6"/>
        </w:rPr>
        <w:t>Associate Director — Insurance Practice  /  SimCorp PM at SCOR Investment Partners</w:t>
      </w:r>
    </w:p>
    <w:p w14:paraId="21FE93AE" w14:textId="77777777" w:rsidR="001A51F6" w:rsidRPr="001A51F6" w:rsidRDefault="00000000" w:rsidP="001A51F6">
      <w:pPr>
        <w:pStyle w:val="Listepuces"/>
        <w:spacing w:before="30" w:after="30"/>
        <w:ind w:hanging="180"/>
        <w:jc w:val="both"/>
      </w:pPr>
      <w:r>
        <w:rPr>
          <w:color w:val="262626"/>
        </w:rPr>
        <w:t xml:space="preserve">Concurrent SimCorp Dimension Project Manager at SCOR Investment Partners (Nov 2008 – May 2012, 3.5 years): </w:t>
      </w:r>
    </w:p>
    <w:p w14:paraId="04A26E3E" w14:textId="4EA4C3F6" w:rsidR="007E13C3" w:rsidRDefault="00000000" w:rsidP="001A51F6">
      <w:pPr>
        <w:pStyle w:val="Listepuces"/>
        <w:numPr>
          <w:ilvl w:val="0"/>
          <w:numId w:val="10"/>
        </w:numPr>
        <w:spacing w:before="30" w:after="30"/>
        <w:ind w:left="993"/>
        <w:jc w:val="both"/>
      </w:pPr>
      <w:r>
        <w:rPr>
          <w:color w:val="262626"/>
        </w:rPr>
        <w:t xml:space="preserve">led migration from </w:t>
      </w:r>
      <w:r>
        <w:rPr>
          <w:b/>
          <w:color w:val="262626"/>
        </w:rPr>
        <w:t>Linedata Chorus</w:t>
      </w:r>
      <w:r>
        <w:rPr>
          <w:color w:val="262626"/>
        </w:rPr>
        <w:t xml:space="preserve"> (MO/BO/accounting) to </w:t>
      </w:r>
      <w:r>
        <w:rPr>
          <w:b/>
          <w:color w:val="262626"/>
        </w:rPr>
        <w:t>SimCorp Dimension</w:t>
      </w:r>
      <w:r>
        <w:rPr>
          <w:color w:val="262626"/>
        </w:rPr>
        <w:t xml:space="preserve"> across Head Office and foreign entities — </w:t>
      </w:r>
      <w:r>
        <w:rPr>
          <w:b/>
          <w:color w:val="262626"/>
        </w:rPr>
        <w:t>€20bn AUM</w:t>
      </w:r>
      <w:r>
        <w:rPr>
          <w:color w:val="262626"/>
        </w:rPr>
        <w:t>, 12-person team. Bloomberg maintained as FO system with full SimCorp integration.</w:t>
      </w:r>
    </w:p>
    <w:p w14:paraId="666BFDD0" w14:textId="77777777" w:rsidR="007E13C3" w:rsidRDefault="00000000" w:rsidP="001A51F6">
      <w:pPr>
        <w:pStyle w:val="Listepuces"/>
        <w:numPr>
          <w:ilvl w:val="0"/>
          <w:numId w:val="10"/>
        </w:numPr>
        <w:spacing w:before="30" w:after="30"/>
        <w:ind w:left="993"/>
        <w:jc w:val="both"/>
      </w:pPr>
      <w:r>
        <w:rPr>
          <w:color w:val="262626"/>
        </w:rPr>
        <w:t xml:space="preserve">Designed and implemented </w:t>
      </w:r>
      <w:r>
        <w:rPr>
          <w:b/>
          <w:color w:val="262626"/>
        </w:rPr>
        <w:t>look-through automation</w:t>
      </w:r>
      <w:r>
        <w:rPr>
          <w:color w:val="262626"/>
        </w:rPr>
        <w:t xml:space="preserve"> for dedicated UCITS funds: automated underlying asset consolidation, sensitivity calculations and Solvency II transparisation — eliminating manual restatement processes.</w:t>
      </w:r>
    </w:p>
    <w:p w14:paraId="57F504BB" w14:textId="77777777" w:rsidR="007E13C3" w:rsidRDefault="00000000" w:rsidP="001A51F6">
      <w:pPr>
        <w:pStyle w:val="Listepuces"/>
        <w:numPr>
          <w:ilvl w:val="0"/>
          <w:numId w:val="10"/>
        </w:numPr>
        <w:spacing w:before="30" w:after="30"/>
        <w:ind w:left="993"/>
        <w:jc w:val="both"/>
      </w:pPr>
      <w:r>
        <w:rPr>
          <w:color w:val="262626"/>
        </w:rPr>
        <w:t>Managed US portfolio migration including structured products; defined AMF-compliant investment reporting and branch restructuring for foreign subsidiaries.</w:t>
      </w:r>
    </w:p>
    <w:p w14:paraId="6DC3508C" w14:textId="77777777" w:rsidR="007E13C3" w:rsidRDefault="00000000" w:rsidP="001A51F6">
      <w:pPr>
        <w:pStyle w:val="Listepuces"/>
        <w:spacing w:before="30" w:after="30"/>
        <w:ind w:hanging="180"/>
        <w:jc w:val="both"/>
      </w:pPr>
      <w:r>
        <w:rPr>
          <w:color w:val="262626"/>
        </w:rPr>
        <w:t xml:space="preserve">As Associate Director at Primexis: built a </w:t>
      </w:r>
      <w:r>
        <w:rPr>
          <w:b/>
          <w:color w:val="262626"/>
        </w:rPr>
        <w:t>20-consultant Insurance practice</w:t>
      </w:r>
      <w:r>
        <w:rPr>
          <w:color w:val="262626"/>
        </w:rPr>
        <w:t xml:space="preserve"> generating </w:t>
      </w:r>
      <w:r>
        <w:rPr>
          <w:b/>
          <w:color w:val="262626"/>
        </w:rPr>
        <w:t>€3m annual revenue</w:t>
      </w:r>
      <w:r>
        <w:rPr>
          <w:color w:val="262626"/>
        </w:rPr>
        <w:t xml:space="preserve"> across 10 clients. Served on Executive Committee.</w:t>
      </w:r>
    </w:p>
    <w:p w14:paraId="78F60A29" w14:textId="77777777" w:rsidR="007E13C3" w:rsidRDefault="007E13C3">
      <w:pPr>
        <w:pBdr>
          <w:bottom w:val="single" w:sz="4" w:space="1" w:color="D6E4F0"/>
        </w:pBdr>
        <w:spacing w:after="0" w:line="240" w:lineRule="auto"/>
      </w:pPr>
    </w:p>
    <w:p w14:paraId="11F0B81D" w14:textId="77777777" w:rsidR="007E13C3" w:rsidRDefault="00000000">
      <w:pPr>
        <w:spacing w:before="160" w:after="30"/>
      </w:pPr>
      <w:r>
        <w:rPr>
          <w:b/>
          <w:color w:val="1F3864"/>
          <w:sz w:val="21"/>
        </w:rPr>
        <w:t>SCOR  —  Investment Department</w:t>
      </w:r>
      <w:r>
        <w:rPr>
          <w:color w:val="595959"/>
        </w:rPr>
        <w:t xml:space="preserve">  ·  Oct 2005 – Sep 2008  (3 years)</w:t>
      </w:r>
    </w:p>
    <w:p w14:paraId="5AD3F5B1" w14:textId="77777777" w:rsidR="007E13C3" w:rsidRDefault="00000000">
      <w:pPr>
        <w:spacing w:after="60"/>
      </w:pPr>
      <w:r>
        <w:rPr>
          <w:b/>
          <w:i/>
          <w:color w:val="2E75B6"/>
        </w:rPr>
        <w:t>Head of Transformation Projects  /  Head of Group Consolidation</w:t>
      </w:r>
    </w:p>
    <w:p w14:paraId="10857A3E" w14:textId="77777777" w:rsidR="007E13C3" w:rsidRDefault="00000000" w:rsidP="001A51F6">
      <w:pPr>
        <w:pStyle w:val="Listepuces"/>
        <w:spacing w:before="30" w:after="30"/>
        <w:ind w:hanging="180"/>
        <w:jc w:val="both"/>
      </w:pPr>
      <w:r>
        <w:rPr>
          <w:color w:val="262626"/>
        </w:rPr>
        <w:t xml:space="preserve">Advised Investment COO; led transformation of SCOR's investment department into a standalone AM structure — replacing a fragmented </w:t>
      </w:r>
      <w:r>
        <w:rPr>
          <w:b/>
          <w:color w:val="262626"/>
        </w:rPr>
        <w:t>Bloomberg (FO) + Linedata Chorus (MO/BO/accounting)</w:t>
      </w:r>
      <w:r>
        <w:rPr>
          <w:color w:val="262626"/>
        </w:rPr>
        <w:t xml:space="preserve"> environment with a fully integrated front-to-accounting platform.</w:t>
      </w:r>
    </w:p>
    <w:p w14:paraId="6BAF686C" w14:textId="77777777" w:rsidR="007E13C3" w:rsidRDefault="00000000" w:rsidP="001A51F6">
      <w:pPr>
        <w:pStyle w:val="Listepuces"/>
        <w:spacing w:before="30" w:after="30"/>
        <w:ind w:hanging="180"/>
        <w:jc w:val="both"/>
      </w:pPr>
      <w:r>
        <w:rPr>
          <w:color w:val="262626"/>
        </w:rPr>
        <w:t xml:space="preserve">Led RFI/RFP for investment platform and performance attribution tool; managed </w:t>
      </w:r>
      <w:r>
        <w:rPr>
          <w:b/>
          <w:color w:val="262626"/>
        </w:rPr>
        <w:t>SimCorp Dimension</w:t>
      </w:r>
      <w:r>
        <w:rPr>
          <w:color w:val="262626"/>
        </w:rPr>
        <w:t xml:space="preserve"> selection and implementation governance. Project budget: </w:t>
      </w:r>
      <w:r>
        <w:rPr>
          <w:b/>
          <w:color w:val="262626"/>
        </w:rPr>
        <w:t>€3m/year</w:t>
      </w:r>
      <w:r>
        <w:rPr>
          <w:color w:val="262626"/>
        </w:rPr>
        <w:t>.</w:t>
      </w:r>
    </w:p>
    <w:p w14:paraId="4345F783" w14:textId="77777777" w:rsidR="007E13C3" w:rsidRDefault="00000000" w:rsidP="001A51F6">
      <w:pPr>
        <w:pStyle w:val="Listepuces"/>
        <w:spacing w:before="30" w:after="30"/>
        <w:ind w:hanging="180"/>
        <w:jc w:val="both"/>
      </w:pPr>
      <w:r>
        <w:rPr>
          <w:color w:val="262626"/>
        </w:rPr>
        <w:t>Head of Group Consolidation &amp; Accounting Standards (Oct 2005 – Jul 2006): quarterly IFRS and annual US GAAP consolidated reporting; Group accounting policy definition; team of 5.</w:t>
      </w:r>
    </w:p>
    <w:p w14:paraId="6E35353A" w14:textId="77777777" w:rsidR="007E13C3" w:rsidRDefault="007E13C3">
      <w:pPr>
        <w:pBdr>
          <w:bottom w:val="single" w:sz="4" w:space="1" w:color="D6E4F0"/>
        </w:pBdr>
        <w:spacing w:after="0" w:line="240" w:lineRule="auto"/>
      </w:pPr>
    </w:p>
    <w:p w14:paraId="0A47EDB5" w14:textId="77777777" w:rsidR="007E13C3" w:rsidRDefault="00000000">
      <w:pPr>
        <w:spacing w:before="160" w:after="30"/>
      </w:pPr>
      <w:r>
        <w:rPr>
          <w:b/>
          <w:color w:val="1F3864"/>
          <w:sz w:val="21"/>
        </w:rPr>
        <w:t>Coface  —  Group Finance</w:t>
      </w:r>
      <w:r>
        <w:rPr>
          <w:color w:val="595959"/>
        </w:rPr>
        <w:t xml:space="preserve">  ·  May 2004 – Oct 2005  (18 months)</w:t>
      </w:r>
    </w:p>
    <w:p w14:paraId="0476E0FF" w14:textId="77777777" w:rsidR="007E13C3" w:rsidRDefault="00000000">
      <w:pPr>
        <w:spacing w:after="60"/>
      </w:pPr>
      <w:r>
        <w:rPr>
          <w:b/>
          <w:i/>
          <w:color w:val="2E75B6"/>
        </w:rPr>
        <w:t>Head of Technical Accounting and Reserving</w:t>
      </w:r>
    </w:p>
    <w:p w14:paraId="5FA23881" w14:textId="77777777" w:rsidR="007E13C3" w:rsidRDefault="00000000" w:rsidP="001A51F6">
      <w:pPr>
        <w:pStyle w:val="Listepuces"/>
        <w:spacing w:before="30" w:after="30"/>
        <w:ind w:hanging="180"/>
        <w:jc w:val="both"/>
      </w:pPr>
      <w:r>
        <w:rPr>
          <w:color w:val="262626"/>
        </w:rPr>
        <w:t xml:space="preserve">Designed and implemented </w:t>
      </w:r>
      <w:r>
        <w:rPr>
          <w:b/>
          <w:color w:val="262626"/>
        </w:rPr>
        <w:t>Bornhuetter-Ferguson stochastic reserving methodology</w:t>
      </w:r>
      <w:r>
        <w:rPr>
          <w:color w:val="262626"/>
        </w:rPr>
        <w:t xml:space="preserve"> — replacing manual estimation with a structured quantitative model. Coordinated accounting, actuarial and operational stakeholders; accelerated close process.</w:t>
      </w:r>
    </w:p>
    <w:p w14:paraId="6D5E8A99" w14:textId="77777777" w:rsidR="007E13C3" w:rsidRDefault="00000000" w:rsidP="001A51F6">
      <w:pPr>
        <w:pStyle w:val="Listepuces"/>
        <w:spacing w:before="30" w:after="30"/>
        <w:ind w:hanging="180"/>
        <w:jc w:val="both"/>
      </w:pPr>
      <w:r>
        <w:rPr>
          <w:color w:val="262626"/>
        </w:rPr>
        <w:t>Investment accounting, technical insurance accounting; intercompany reconciliations; Group Finance coordination.</w:t>
      </w:r>
    </w:p>
    <w:p w14:paraId="5EF7F256" w14:textId="77777777" w:rsidR="007E13C3" w:rsidRDefault="007E13C3" w:rsidP="001A51F6">
      <w:pPr>
        <w:pBdr>
          <w:bottom w:val="single" w:sz="4" w:space="1" w:color="D6E4F0"/>
        </w:pBdr>
        <w:spacing w:after="0" w:line="240" w:lineRule="auto"/>
        <w:jc w:val="both"/>
      </w:pPr>
    </w:p>
    <w:p w14:paraId="6918B684" w14:textId="77777777" w:rsidR="007E13C3" w:rsidRDefault="00000000">
      <w:pPr>
        <w:spacing w:before="160" w:after="30"/>
      </w:pPr>
      <w:r>
        <w:rPr>
          <w:b/>
          <w:color w:val="1F3864"/>
          <w:sz w:val="21"/>
        </w:rPr>
        <w:t>Mazars</w:t>
      </w:r>
      <w:r>
        <w:rPr>
          <w:color w:val="595959"/>
        </w:rPr>
        <w:t xml:space="preserve">  ·  Sep 1999 – May 2004  (5 years)</w:t>
      </w:r>
    </w:p>
    <w:p w14:paraId="741EC7A8" w14:textId="77777777" w:rsidR="007E13C3" w:rsidRDefault="00000000">
      <w:pPr>
        <w:spacing w:after="60"/>
      </w:pPr>
      <w:r>
        <w:rPr>
          <w:b/>
          <w:i/>
          <w:color w:val="2E75B6"/>
        </w:rPr>
        <w:t>Audit Manager — Insurance &amp; Reinsurance Practice</w:t>
      </w:r>
    </w:p>
    <w:p w14:paraId="5BDE72D6" w14:textId="77777777" w:rsidR="007E13C3" w:rsidRDefault="00000000">
      <w:pPr>
        <w:pStyle w:val="Listepuces"/>
        <w:spacing w:before="30" w:after="30"/>
        <w:ind w:hanging="180"/>
      </w:pPr>
      <w:r>
        <w:rPr>
          <w:color w:val="262626"/>
        </w:rPr>
        <w:t>Statutory audit, internal control reviews, due diligence and transaction support for insurers and reinsurers.</w:t>
      </w:r>
    </w:p>
    <w:p w14:paraId="7FE870DA" w14:textId="77777777" w:rsidR="007E13C3" w:rsidRDefault="00000000">
      <w:pPr>
        <w:pStyle w:val="Listepuces"/>
        <w:spacing w:before="30" w:after="30"/>
        <w:ind w:hanging="180"/>
      </w:pPr>
      <w:r>
        <w:rPr>
          <w:color w:val="262626"/>
        </w:rPr>
        <w:t>Investment function reviews; financial control and forecasting work.</w:t>
      </w:r>
    </w:p>
    <w:p w14:paraId="133E57BB" w14:textId="77777777" w:rsidR="007E13C3" w:rsidRDefault="00000000">
      <w:pPr>
        <w:shd w:val="clear" w:color="auto" w:fill="2E75B6"/>
        <w:spacing w:before="200" w:after="80"/>
      </w:pPr>
      <w:r>
        <w:rPr>
          <w:b/>
          <w:color w:val="FFFFFF"/>
          <w:sz w:val="22"/>
        </w:rPr>
        <w:t xml:space="preserve">  EDUCATION &amp; QUALIFICATIONS</w:t>
      </w:r>
    </w:p>
    <w:p w14:paraId="59B85010" w14:textId="276CB44D" w:rsidR="007E13C3" w:rsidRDefault="00000000">
      <w:pPr>
        <w:spacing w:before="50" w:after="50"/>
        <w:ind w:left="180"/>
      </w:pPr>
      <w:r>
        <w:rPr>
          <w:b/>
          <w:color w:val="1F3864"/>
        </w:rPr>
        <w:t>ESCP Business School</w:t>
      </w:r>
      <w:r>
        <w:rPr>
          <w:color w:val="262626"/>
        </w:rPr>
        <w:t xml:space="preserve">  —  Grande École — </w:t>
      </w:r>
      <w:proofErr w:type="gramStart"/>
      <w:r>
        <w:rPr>
          <w:color w:val="262626"/>
        </w:rPr>
        <w:t>Master in Management</w:t>
      </w:r>
      <w:proofErr w:type="gramEnd"/>
      <w:r>
        <w:rPr>
          <w:color w:val="262626"/>
        </w:rPr>
        <w:t xml:space="preserve"> </w:t>
      </w:r>
      <w:r w:rsidR="006D7B53">
        <w:rPr>
          <w:color w:val="595959"/>
          <w:sz w:val="18"/>
        </w:rPr>
        <w:t xml:space="preserve">| </w:t>
      </w:r>
      <w:r w:rsidR="006D7B53" w:rsidRPr="006D7B53">
        <w:rPr>
          <w:color w:val="262626"/>
        </w:rPr>
        <w:t>Major: Finance</w:t>
      </w:r>
      <w:r>
        <w:rPr>
          <w:color w:val="595959"/>
          <w:sz w:val="18"/>
        </w:rPr>
        <w:t xml:space="preserve">  |  1991–1995</w:t>
      </w:r>
    </w:p>
    <w:p w14:paraId="0EE45952" w14:textId="77777777" w:rsidR="007E13C3" w:rsidRDefault="00000000">
      <w:pPr>
        <w:spacing w:before="50" w:after="50"/>
        <w:ind w:left="180"/>
      </w:pPr>
      <w:r>
        <w:rPr>
          <w:b/>
          <w:color w:val="1F3864"/>
        </w:rPr>
        <w:t>Centre d'Études Actuarielles, Paris</w:t>
      </w:r>
      <w:r>
        <w:rPr>
          <w:color w:val="262626"/>
        </w:rPr>
        <w:t xml:space="preserve">  —  Master in Actuarial Science</w:t>
      </w:r>
      <w:r>
        <w:rPr>
          <w:color w:val="595959"/>
          <w:sz w:val="18"/>
        </w:rPr>
        <w:t xml:space="preserve">  |  2002–2004</w:t>
      </w:r>
    </w:p>
    <w:p w14:paraId="69435AA8" w14:textId="77777777" w:rsidR="007E13C3" w:rsidRDefault="00000000">
      <w:pPr>
        <w:spacing w:before="50" w:after="50"/>
        <w:ind w:left="180"/>
      </w:pPr>
      <w:r>
        <w:rPr>
          <w:b/>
          <w:color w:val="1F3864"/>
        </w:rPr>
        <w:t>ENOES — École de l'Expertise Comptable</w:t>
      </w:r>
      <w:r>
        <w:rPr>
          <w:color w:val="262626"/>
        </w:rPr>
        <w:t xml:space="preserve">  —  D.E.C.F. (French CPA-equivalent)</w:t>
      </w:r>
      <w:r>
        <w:rPr>
          <w:color w:val="595959"/>
          <w:sz w:val="18"/>
        </w:rPr>
        <w:t xml:space="preserve">  |  2001</w:t>
      </w:r>
    </w:p>
    <w:p w14:paraId="57F9BDE4" w14:textId="77777777" w:rsidR="007E13C3" w:rsidRDefault="00000000">
      <w:pPr>
        <w:spacing w:before="50" w:after="50"/>
        <w:ind w:left="180"/>
      </w:pPr>
      <w:r>
        <w:rPr>
          <w:b/>
          <w:color w:val="1F3864"/>
        </w:rPr>
        <w:t>Université Paris Dauphine – PSL</w:t>
      </w:r>
      <w:r>
        <w:rPr>
          <w:color w:val="262626"/>
        </w:rPr>
        <w:t xml:space="preserve">  —  Master in Economics</w:t>
      </w:r>
      <w:r>
        <w:rPr>
          <w:color w:val="595959"/>
          <w:sz w:val="18"/>
        </w:rPr>
        <w:t xml:space="preserve">  |  1995–1996</w:t>
      </w:r>
    </w:p>
    <w:p w14:paraId="22F6AC05" w14:textId="77777777" w:rsidR="007E13C3" w:rsidRDefault="00000000">
      <w:pPr>
        <w:spacing w:before="50" w:after="50"/>
        <w:ind w:left="180"/>
      </w:pPr>
      <w:r>
        <w:rPr>
          <w:b/>
          <w:color w:val="1F3864"/>
        </w:rPr>
        <w:t>Project Management Institute</w:t>
      </w:r>
      <w:r>
        <w:rPr>
          <w:color w:val="262626"/>
        </w:rPr>
        <w:t xml:space="preserve">  —  PMP® — Project Management Professional (active)</w:t>
      </w:r>
    </w:p>
    <w:p w14:paraId="6C320DA3" w14:textId="77777777" w:rsidR="007E13C3" w:rsidRDefault="00000000">
      <w:pPr>
        <w:spacing w:before="50" w:after="50"/>
        <w:ind w:left="180"/>
      </w:pPr>
      <w:r>
        <w:rPr>
          <w:b/>
          <w:color w:val="1F3864"/>
        </w:rPr>
        <w:t>Certifications</w:t>
      </w:r>
      <w:r>
        <w:rPr>
          <w:color w:val="262626"/>
        </w:rPr>
        <w:t xml:space="preserve">  —  Generative AI Primer  |  GenAI for Account Executives</w:t>
      </w:r>
    </w:p>
    <w:p w14:paraId="57420D8A" w14:textId="77777777" w:rsidR="007E13C3" w:rsidRDefault="00000000">
      <w:pPr>
        <w:shd w:val="clear" w:color="auto" w:fill="2E75B6"/>
        <w:spacing w:before="200" w:after="80"/>
      </w:pPr>
      <w:r>
        <w:rPr>
          <w:b/>
          <w:color w:val="FFFFFF"/>
          <w:sz w:val="22"/>
        </w:rPr>
        <w:t xml:space="preserve">  LANGUAGES &amp; AVAILABILITY</w:t>
      </w:r>
    </w:p>
    <w:p w14:paraId="1C0E538E" w14:textId="77777777" w:rsidR="007E13C3" w:rsidRDefault="00000000">
      <w:pPr>
        <w:spacing w:before="80" w:after="80"/>
        <w:ind w:left="180"/>
      </w:pPr>
      <w:r>
        <w:rPr>
          <w:color w:val="262626"/>
        </w:rPr>
        <w:t>French: Native  |  English: Full professional proficiency (C1/C2)  |  Spanish &amp; Italian: elementary  |  German: limited working</w:t>
      </w:r>
    </w:p>
    <w:p w14:paraId="6CA8420E" w14:textId="77777777" w:rsidR="007E13C3" w:rsidRDefault="00000000">
      <w:pPr>
        <w:spacing w:after="80"/>
        <w:ind w:left="180"/>
      </w:pPr>
      <w:r>
        <w:rPr>
          <w:color w:val="262626"/>
        </w:rPr>
        <w:t>Available: May 2026  |  Format: Remote preferred, hybrid considered  |  Geography: France, UK, Continental Europe, North America, APAC</w:t>
      </w:r>
    </w:p>
    <w:sectPr w:rsidR="007E13C3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B6CC678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902797"/>
    <w:multiLevelType w:val="hybridMultilevel"/>
    <w:tmpl w:val="903CC83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CFA35B4"/>
    <w:multiLevelType w:val="hybridMultilevel"/>
    <w:tmpl w:val="EED4BCB0"/>
    <w:lvl w:ilvl="0" w:tplc="040C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4F07175"/>
    <w:multiLevelType w:val="hybridMultilevel"/>
    <w:tmpl w:val="CC6E3A56"/>
    <w:lvl w:ilvl="0" w:tplc="040C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32469122">
    <w:abstractNumId w:val="8"/>
  </w:num>
  <w:num w:numId="2" w16cid:durableId="679890716">
    <w:abstractNumId w:val="6"/>
  </w:num>
  <w:num w:numId="3" w16cid:durableId="1691641273">
    <w:abstractNumId w:val="5"/>
  </w:num>
  <w:num w:numId="4" w16cid:durableId="1218083617">
    <w:abstractNumId w:val="4"/>
  </w:num>
  <w:num w:numId="5" w16cid:durableId="76097820">
    <w:abstractNumId w:val="7"/>
  </w:num>
  <w:num w:numId="6" w16cid:durableId="200896160">
    <w:abstractNumId w:val="3"/>
  </w:num>
  <w:num w:numId="7" w16cid:durableId="88548990">
    <w:abstractNumId w:val="2"/>
  </w:num>
  <w:num w:numId="8" w16cid:durableId="2105103452">
    <w:abstractNumId w:val="1"/>
  </w:num>
  <w:num w:numId="9" w16cid:durableId="1141727107">
    <w:abstractNumId w:val="0"/>
  </w:num>
  <w:num w:numId="10" w16cid:durableId="1603954212">
    <w:abstractNumId w:val="10"/>
  </w:num>
  <w:num w:numId="11" w16cid:durableId="1311246224">
    <w:abstractNumId w:val="11"/>
  </w:num>
  <w:num w:numId="12" w16cid:durableId="21362118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51F6"/>
    <w:rsid w:val="0029639D"/>
    <w:rsid w:val="00326F90"/>
    <w:rsid w:val="00590A91"/>
    <w:rsid w:val="006D7B53"/>
    <w:rsid w:val="007E13C3"/>
    <w:rsid w:val="00AA1D8D"/>
    <w:rsid w:val="00B47730"/>
    <w:rsid w:val="00C70F2A"/>
    <w:rsid w:val="00C97B35"/>
    <w:rsid w:val="00CB0664"/>
    <w:rsid w:val="00CF00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DA3236"/>
  <w14:defaultImageDpi w14:val="300"/>
  <w15:docId w15:val="{41C14C36-5BC1-D948-B300-F6256751A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1686</Words>
  <Characters>9279</Characters>
  <Application>Microsoft Office Word</Application>
  <DocSecurity>0</DocSecurity>
  <Lines>77</Lines>
  <Paragraphs>21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Xavier Robitaille</cp:lastModifiedBy>
  <cp:revision>4</cp:revision>
  <dcterms:created xsi:type="dcterms:W3CDTF">2026-05-11T13:41:00Z</dcterms:created>
  <dcterms:modified xsi:type="dcterms:W3CDTF">2026-05-11T13:50:00Z</dcterms:modified>
  <cp:category/>
</cp:coreProperties>
</file>