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7445" w14:textId="1A311416" w:rsidR="004B17F9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>XAVIER ROBITAILLE</w:t>
      </w:r>
    </w:p>
    <w:p w14:paraId="1EA547DF" w14:textId="424EED89" w:rsidR="004B17F9" w:rsidRDefault="00000000">
      <w:pPr>
        <w:shd w:val="clear" w:color="auto" w:fill="1F3864"/>
        <w:spacing w:after="0" w:line="240" w:lineRule="auto"/>
        <w:jc w:val="center"/>
      </w:pPr>
      <w:r>
        <w:rPr>
          <w:color w:val="D6E4F0"/>
        </w:rPr>
        <w:t xml:space="preserve">Investment Accounting &amp; Asset Management Transformation  |  SimCorp  |  Clearwater Analytics  |  </w:t>
      </w:r>
      <w:r w:rsidR="00791555">
        <w:rPr>
          <w:color w:val="D6E4F0"/>
        </w:rPr>
        <w:br/>
      </w:r>
      <w:r>
        <w:rPr>
          <w:color w:val="D6E4F0"/>
        </w:rPr>
        <w:t>OMS / Front-to-Back Implementation</w:t>
      </w:r>
    </w:p>
    <w:p w14:paraId="45C2F075" w14:textId="0C15FB1B" w:rsidR="004B17F9" w:rsidRDefault="00000000">
      <w:pPr>
        <w:shd w:val="clear" w:color="auto" w:fill="2E75B6"/>
        <w:spacing w:before="60" w:after="60" w:line="240" w:lineRule="auto"/>
        <w:jc w:val="center"/>
      </w:pPr>
      <w:r>
        <w:rPr>
          <w:color w:val="FFFFFF"/>
          <w:sz w:val="18"/>
        </w:rPr>
        <w:t xml:space="preserve">+33 6 64 89 09 43  |  xrobitaille92150@gmail.com  |  linkedin.com/in/xrobitaille  |  Remote / international </w:t>
      </w:r>
      <w:r w:rsidR="00791555">
        <w:rPr>
          <w:color w:val="FFFFFF"/>
          <w:sz w:val="18"/>
        </w:rPr>
        <w:t>-</w:t>
      </w:r>
      <w:r>
        <w:rPr>
          <w:color w:val="FFFFFF"/>
          <w:sz w:val="18"/>
        </w:rPr>
        <w:t xml:space="preserve"> available May 2026</w:t>
      </w:r>
    </w:p>
    <w:p w14:paraId="12706649" w14:textId="77777777" w:rsidR="00791555" w:rsidRPr="00791555" w:rsidRDefault="00000000" w:rsidP="00791555">
      <w:pPr>
        <w:spacing w:after="0" w:line="240" w:lineRule="auto"/>
        <w:rPr>
          <w:sz w:val="2"/>
          <w:szCs w:val="2"/>
        </w:rPr>
      </w:pPr>
      <w:r w:rsidRPr="00791555">
        <w:rPr>
          <w:sz w:val="2"/>
          <w:szCs w:val="2"/>
        </w:rPr>
        <w:t xml:space="preserve">  </w:t>
      </w:r>
    </w:p>
    <w:p w14:paraId="628F860E" w14:textId="68FB797C" w:rsidR="004B17F9" w:rsidRDefault="00000000" w:rsidP="00791555">
      <w:pPr>
        <w:shd w:val="clear" w:color="auto" w:fill="2E75B6"/>
        <w:spacing w:after="80"/>
      </w:pPr>
      <w:r>
        <w:rPr>
          <w:b/>
          <w:color w:val="FFFFFF"/>
          <w:sz w:val="22"/>
        </w:rPr>
        <w:t>EXECUTIVE SUMMARY</w:t>
      </w:r>
    </w:p>
    <w:p w14:paraId="1EBACD71" w14:textId="77777777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 w:rsidRPr="00791555">
        <w:rPr>
          <w:color w:val="262626"/>
        </w:rPr>
        <w:t xml:space="preserve">Senior consultant and </w:t>
      </w:r>
      <w:proofErr w:type="spellStart"/>
      <w:r w:rsidRPr="00791555">
        <w:rPr>
          <w:color w:val="262626"/>
        </w:rPr>
        <w:t>programme</w:t>
      </w:r>
      <w:proofErr w:type="spellEnd"/>
      <w:r w:rsidRPr="00791555">
        <w:rPr>
          <w:color w:val="262626"/>
        </w:rPr>
        <w:t xml:space="preserve"> manager </w:t>
      </w:r>
      <w:proofErr w:type="spellStart"/>
      <w:r w:rsidRPr="00791555">
        <w:rPr>
          <w:color w:val="262626"/>
        </w:rPr>
        <w:t>specialised</w:t>
      </w:r>
      <w:proofErr w:type="spellEnd"/>
      <w:r w:rsidRPr="00791555">
        <w:rPr>
          <w:color w:val="262626"/>
        </w:rPr>
        <w:t xml:space="preserve"> in </w:t>
      </w:r>
      <w:r w:rsidRPr="00791555">
        <w:rPr>
          <w:b/>
          <w:bCs/>
          <w:color w:val="262626"/>
        </w:rPr>
        <w:t>investment accounting</w:t>
      </w:r>
      <w:r w:rsidRPr="00791555">
        <w:rPr>
          <w:color w:val="262626"/>
        </w:rPr>
        <w:t xml:space="preserve"> transformation, </w:t>
      </w:r>
      <w:r w:rsidRPr="00791555">
        <w:rPr>
          <w:b/>
          <w:bCs/>
          <w:color w:val="262626"/>
        </w:rPr>
        <w:t>asset management platform</w:t>
      </w:r>
      <w:r w:rsidRPr="00791555">
        <w:rPr>
          <w:color w:val="262626"/>
        </w:rPr>
        <w:t xml:space="preserve"> implementation and </w:t>
      </w:r>
      <w:r w:rsidRPr="00791555">
        <w:rPr>
          <w:b/>
          <w:bCs/>
          <w:color w:val="262626"/>
        </w:rPr>
        <w:t>front-to-back operating model</w:t>
      </w:r>
      <w:r w:rsidRPr="00791555">
        <w:rPr>
          <w:color w:val="262626"/>
        </w:rPr>
        <w:t xml:space="preserve"> design. 25+ years of experience across insurance, reinsurance and asset management, combining business expertise, technical accounting depth and hands-on delivery leadership.</w:t>
      </w:r>
    </w:p>
    <w:p w14:paraId="1E5423F2" w14:textId="77777777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 w:rsidRPr="00791555">
        <w:rPr>
          <w:color w:val="262626"/>
        </w:rPr>
        <w:t xml:space="preserve">Platform expertise: </w:t>
      </w:r>
      <w:r w:rsidRPr="00791555">
        <w:rPr>
          <w:b/>
          <w:bCs/>
          <w:color w:val="262626"/>
        </w:rPr>
        <w:t>SimCorp Dimension</w:t>
      </w:r>
      <w:r w:rsidRPr="00791555">
        <w:rPr>
          <w:color w:val="262626"/>
        </w:rPr>
        <w:t xml:space="preserve"> (Lead Business Owner at CNP Assurances — €350bn AUM — and Implementation PM at SCOR Investment Partners — €20bn AUM — cumulative 8+ years); </w:t>
      </w:r>
      <w:r w:rsidRPr="00791555">
        <w:rPr>
          <w:b/>
          <w:bCs/>
          <w:color w:val="262626"/>
        </w:rPr>
        <w:t>Clearwater Analytics</w:t>
      </w:r>
      <w:r w:rsidRPr="00791555">
        <w:rPr>
          <w:color w:val="262626"/>
        </w:rPr>
        <w:t xml:space="preserve"> (current Senior Programme Manager — CW CORE, OMS/Jump, LPx — €11bn AUM); </w:t>
      </w:r>
      <w:r w:rsidRPr="00791555">
        <w:rPr>
          <w:b/>
          <w:bCs/>
          <w:color w:val="262626"/>
        </w:rPr>
        <w:t>Bloomberg</w:t>
      </w:r>
      <w:r w:rsidRPr="00791555">
        <w:rPr>
          <w:color w:val="262626"/>
        </w:rPr>
        <w:t xml:space="preserve"> (TSOX, Data License); SAP S/4HANA; SAS.</w:t>
      </w:r>
    </w:p>
    <w:p w14:paraId="3CCA2BA7" w14:textId="584E1383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 w:rsidRPr="00791555">
        <w:rPr>
          <w:color w:val="262626"/>
        </w:rPr>
        <w:t xml:space="preserve">Typical engagements: </w:t>
      </w:r>
      <w:r w:rsidRPr="00E97BD2">
        <w:rPr>
          <w:b/>
          <w:bCs/>
          <w:color w:val="262626"/>
        </w:rPr>
        <w:t>OMS implementation</w:t>
      </w:r>
      <w:r w:rsidRPr="00791555">
        <w:rPr>
          <w:color w:val="262626"/>
        </w:rPr>
        <w:t xml:space="preserve"> and </w:t>
      </w:r>
      <w:r w:rsidR="00E97BD2">
        <w:rPr>
          <w:color w:val="262626"/>
        </w:rPr>
        <w:t>TOM</w:t>
      </w:r>
      <w:r w:rsidRPr="00791555">
        <w:rPr>
          <w:color w:val="262626"/>
        </w:rPr>
        <w:t xml:space="preserve"> transition, </w:t>
      </w:r>
      <w:r w:rsidRPr="00E97BD2">
        <w:rPr>
          <w:b/>
          <w:bCs/>
          <w:color w:val="262626"/>
        </w:rPr>
        <w:t>investment accounting</w:t>
      </w:r>
      <w:r w:rsidRPr="00791555">
        <w:rPr>
          <w:color w:val="262626"/>
        </w:rPr>
        <w:t xml:space="preserve"> transformation (IFRS 9/ French GAAP / </w:t>
      </w:r>
      <w:r w:rsidR="00E97BD2">
        <w:rPr>
          <w:color w:val="262626"/>
        </w:rPr>
        <w:t>S2</w:t>
      </w:r>
      <w:r w:rsidRPr="00791555">
        <w:rPr>
          <w:color w:val="262626"/>
        </w:rPr>
        <w:t xml:space="preserve">), securities data migration and security master design, </w:t>
      </w:r>
      <w:r w:rsidR="00E97BD2" w:rsidRPr="00791555">
        <w:rPr>
          <w:color w:val="262626"/>
        </w:rPr>
        <w:t>investment data platform design</w:t>
      </w:r>
      <w:r w:rsidR="00E97BD2">
        <w:rPr>
          <w:color w:val="262626"/>
        </w:rPr>
        <w:t>,</w:t>
      </w:r>
      <w:r w:rsidR="00E97BD2" w:rsidRPr="00791555">
        <w:rPr>
          <w:color w:val="262626"/>
        </w:rPr>
        <w:t xml:space="preserve"> </w:t>
      </w:r>
      <w:r w:rsidRPr="00791555">
        <w:rPr>
          <w:color w:val="262626"/>
        </w:rPr>
        <w:t>custodian coordination (CACEIS), STP architecture, closing process redesign, AI-driven control frameworks</w:t>
      </w:r>
      <w:r w:rsidR="00E97BD2">
        <w:rPr>
          <w:color w:val="262626"/>
        </w:rPr>
        <w:t>.</w:t>
      </w:r>
    </w:p>
    <w:p w14:paraId="3716A0DA" w14:textId="4B05E90B" w:rsidR="004B17F9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 w:rsidRPr="00E97BD2">
        <w:rPr>
          <w:b/>
          <w:bCs/>
          <w:color w:val="262626"/>
        </w:rPr>
        <w:t>Fully bilingual EN/FR</w:t>
      </w:r>
      <w:r w:rsidRPr="00791555">
        <w:rPr>
          <w:color w:val="262626"/>
        </w:rPr>
        <w:t>. Open to remote assignments in EMEA, North America and APAC.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INVESTMENT PLATFORM EXPERTISE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 w:rsidRPr="00791555">
        <w:rPr>
          <w:b/>
          <w:color w:val="1F3864"/>
        </w:rPr>
        <w:t>SimCorp Dimension</w:t>
      </w:r>
      <w:r w:rsidRPr="00791555">
        <w:rPr>
          <w:color w:val="262626"/>
        </w:rPr>
        <w:t xml:space="preserve">  —  Lead Business Owner (CNP Assurances, €350bn AUM, 4.5 years) + Implementation PM (SCOR Investment Partners, €20bn AUM, 3.5 years) — functional design, accounting entries, controls, Solvency II reporting, data migration, UAT, go-live</w:t>
      </w:r>
    </w:p>
    <w:p w14:paraId="53623807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 w:rsidRPr="00791555">
        <w:rPr>
          <w:b/>
          <w:color w:val="1F3864"/>
        </w:rPr>
        <w:t>Clearwater Analytics</w:t>
      </w:r>
      <w:r w:rsidRPr="00791555">
        <w:rPr>
          <w:color w:val="262626"/>
        </w:rPr>
        <w:t xml:space="preserve">  —  Senior Programme Manager — CW CORE (portfolio analytics), OMS/Jump (order management), LPx (private equity) — €11bn AUM, multi-custodian, Bloomberg integrations, STP architecture, AI-driven controls, Solvency II reporting</w:t>
      </w:r>
    </w:p>
    <w:p w14:paraId="7A0C33D0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 w:rsidRPr="00791555">
        <w:rPr>
          <w:b/>
          <w:color w:val="1F3864"/>
        </w:rPr>
        <w:t>Bloomberg</w:t>
      </w:r>
      <w:r w:rsidRPr="00791555">
        <w:rPr>
          <w:color w:val="262626"/>
        </w:rPr>
        <w:t xml:space="preserve">  —  TSOX (order management), Bloomberg Data License — integration design and testing (SimCorp + Clearwater contexts)</w:t>
      </w:r>
    </w:p>
    <w:p w14:paraId="412CB98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 w:rsidRPr="00791555">
        <w:rPr>
          <w:b/>
          <w:color w:val="1F3864"/>
        </w:rPr>
        <w:t>SAP S/4HANA</w:t>
      </w:r>
      <w:r w:rsidRPr="00791555">
        <w:rPr>
          <w:color w:val="262626"/>
        </w:rPr>
        <w:t xml:space="preserve">  —  Automated investment accounting interfaces and SAP→SAP BFC reporting chain design (Coface Group Finance)</w:t>
      </w:r>
    </w:p>
    <w:p w14:paraId="6BD58F4F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 w:rsidRPr="00791555">
        <w:rPr>
          <w:b/>
          <w:color w:val="1F3864"/>
        </w:rPr>
        <w:t>SAS</w:t>
      </w:r>
      <w:r w:rsidRPr="00791555">
        <w:rPr>
          <w:color w:val="262626"/>
        </w:rPr>
        <w:t xml:space="preserve">  —  Shared investment data platform design — data sourcing, data model, quality controls, management reporting; ECL (IFRS 9) model implementation and post-production ownership (Coface)</w:t>
      </w:r>
    </w:p>
    <w:p w14:paraId="7AE7B6CB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 w:rsidRPr="00791555">
        <w:rPr>
          <w:b/>
          <w:color w:val="1F3864"/>
        </w:rPr>
        <w:t>Other</w:t>
      </w:r>
      <w:r w:rsidRPr="00791555">
        <w:rPr>
          <w:color w:val="262626"/>
        </w:rPr>
        <w:t xml:space="preserve">  —  CODA (GL integration), CACEIS (custodian coordination, operational interface design), Neoxam GP3/GP4 (custodian platform), Linedata Chorus (legacy migration context — replaced twice)</w:t>
      </w:r>
    </w:p>
    <w:p w14:paraId="265C7592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CORE KEYWORDS</w:t>
      </w:r>
    </w:p>
    <w:p w14:paraId="44172433" w14:textId="2D0CC68C" w:rsidR="004B17F9" w:rsidRPr="00791555" w:rsidRDefault="00000000" w:rsidP="00791555">
      <w:pPr>
        <w:spacing w:before="60" w:after="60"/>
        <w:ind w:left="120" w:right="120"/>
        <w:rPr>
          <w:color w:val="262626"/>
          <w:sz w:val="18"/>
        </w:rPr>
      </w:pPr>
      <w:r>
        <w:rPr>
          <w:color w:val="262626"/>
          <w:sz w:val="18"/>
        </w:rPr>
        <w:t>Investment Accounting  |  Asset Management Transformation  |  OMS Implementation  |  Front-to-Back Platform  |  ABOR / IBOR  |  STP (Straight-Through Processing)  |  SimCorp Dimension  |  Clearwater Analytics  |  IFRS 9  |  Solvency II  |  Securities Master  |  Data Migration  |  Custodian Coordination  |  Bloomberg  |  Portfolio Analytics  |  Performance Attribution  |  Private Equity Accounting  |  Unit-Linked  |  Fixed Income  |  Look-through Reporting  |  Closing Optimisation  |  Target Operating Model  |  Record to Report (R2R)  |  Process Automation  |  Process Optimisation  |  AI-Driven Controls  |  Data Platform Design  |  Data Governance  |  UAT Management  |  PMO  |  SAP S/4HANA  |  SAS  |  Power BI</w:t>
      </w:r>
    </w:p>
    <w:p w14:paraId="46D4A147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663BF815" w14:textId="77777777" w:rsidR="004B17F9" w:rsidRDefault="00000000">
      <w:pPr>
        <w:spacing w:before="160" w:after="30"/>
      </w:pPr>
      <w:r>
        <w:rPr>
          <w:b/>
          <w:color w:val="1F3864"/>
          <w:sz w:val="21"/>
        </w:rPr>
        <w:t>Clearwater Analytics</w:t>
      </w:r>
      <w:r>
        <w:rPr>
          <w:color w:val="595959"/>
        </w:rPr>
        <w:t xml:space="preserve">  ·  Nov 2024 – Apr 2026  (18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>Senior Programme Manager — Cloud-Native Investment Platform &amp; Finance Automation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end-to-end delivery of a </w:t>
      </w:r>
      <w:r>
        <w:rPr>
          <w:b/>
          <w:color w:val="262626"/>
        </w:rPr>
        <w:t>Clearwater Analytics SaaS</w:t>
      </w:r>
      <w:r>
        <w:rPr>
          <w:color w:val="262626"/>
        </w:rPr>
        <w:t xml:space="preserve"> platform for a French reinsurer (</w:t>
      </w:r>
      <w:r>
        <w:rPr>
          <w:b/>
          <w:color w:val="262626"/>
        </w:rPr>
        <w:t>€11bn AUM</w:t>
      </w:r>
      <w:r>
        <w:rPr>
          <w:color w:val="262626"/>
        </w:rPr>
        <w:t xml:space="preserve">: fixed income, TCN, listed funds, closed-end funds), replacing a legacy </w:t>
      </w:r>
      <w:r>
        <w:rPr>
          <w:b/>
          <w:color w:val="262626"/>
        </w:rPr>
        <w:t>Linedata Chorus</w:t>
      </w:r>
      <w:r>
        <w:rPr>
          <w:color w:val="262626"/>
        </w:rPr>
        <w:t xml:space="preserve"> system — the second complete Chorus replacement in this career (first: Chorus → SimCorp Dimension at SCOR IP, 2008–2012).</w:t>
      </w:r>
    </w:p>
    <w:p w14:paraId="6C8B09DE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full </w:t>
      </w:r>
      <w:r>
        <w:rPr>
          <w:b/>
          <w:color w:val="262626"/>
        </w:rPr>
        <w:t>straight-through processing (STP)</w:t>
      </w:r>
      <w:r>
        <w:rPr>
          <w:color w:val="262626"/>
        </w:rPr>
        <w:t xml:space="preserve"> across the investment value chain: order management → accounting production → Solvency II regulatory reporting — eliminating manual re-entry across Front Office, Middle Office, Back Office and IT.</w:t>
      </w:r>
    </w:p>
    <w:p w14:paraId="2D06806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Automated custodian and bank reconciliation: frequency increased from </w:t>
      </w:r>
      <w:r>
        <w:rPr>
          <w:b/>
          <w:color w:val="262626"/>
        </w:rPr>
        <w:t>weekly to daily</w:t>
      </w:r>
      <w:r>
        <w:rPr>
          <w:color w:val="262626"/>
        </w:rPr>
        <w:t xml:space="preserve">; deployed </w:t>
      </w:r>
      <w:r>
        <w:rPr>
          <w:b/>
          <w:color w:val="262626"/>
        </w:rPr>
        <w:t>AI-assisted tripartite reconciliation</w:t>
      </w:r>
      <w:r>
        <w:rPr>
          <w:color w:val="262626"/>
        </w:rPr>
        <w:t xml:space="preserve"> (Front Office / Back Office / custodian) with automated discrepancy pre-diagnosis.</w:t>
      </w:r>
    </w:p>
    <w:p w14:paraId="6D79123C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lastRenderedPageBreak/>
        <w:t xml:space="preserve">Implemented </w:t>
      </w:r>
      <w:r>
        <w:rPr>
          <w:b/>
          <w:color w:val="262626"/>
        </w:rPr>
        <w:t>AI-powered control framework</w:t>
      </w:r>
      <w:r>
        <w:rPr>
          <w:color w:val="262626"/>
        </w:rPr>
        <w:t>: price-variation monitoring, input reception controls, and AI-driven automated processing of closed-end fund instructions (capital calls, monthly NAV valuations).</w:t>
      </w:r>
    </w:p>
    <w:p w14:paraId="58BD7CAF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Reduced closing cycle from </w:t>
      </w:r>
      <w:r>
        <w:rPr>
          <w:b/>
          <w:color w:val="262626"/>
        </w:rPr>
        <w:t>D+4 to D+2</w:t>
      </w:r>
      <w:r>
        <w:rPr>
          <w:color w:val="262626"/>
        </w:rPr>
        <w:t xml:space="preserve"> through end-to-end process automation and STP architecture.</w:t>
      </w:r>
    </w:p>
    <w:p w14:paraId="78652D32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Multi-module implementation: CW CORE (portfolio analytics), OMS/Jump (order management), LPx (private equity); integrations to Bloomberg TSOX, Bloomberg Data License, CODA (GL), Solvency II reporting systems.</w:t>
      </w:r>
    </w:p>
    <w:p w14:paraId="5C83DF62" w14:textId="1B01C976" w:rsidR="004B17F9" w:rsidRDefault="00000000">
      <w:pPr>
        <w:pStyle w:val="Listepuces"/>
        <w:spacing w:before="30" w:after="30"/>
        <w:ind w:hanging="180"/>
      </w:pPr>
      <w:proofErr w:type="spellStart"/>
      <w:r>
        <w:rPr>
          <w:color w:val="262626"/>
        </w:rPr>
        <w:t>Programme</w:t>
      </w:r>
      <w:proofErr w:type="spellEnd"/>
      <w:r>
        <w:rPr>
          <w:color w:val="262626"/>
        </w:rPr>
        <w:t xml:space="preserve"> governance: </w:t>
      </w:r>
      <w:r w:rsidR="00791555">
        <w:rPr>
          <w:color w:val="262626"/>
        </w:rPr>
        <w:t xml:space="preserve">bilingual EN/FR </w:t>
      </w:r>
      <w:r>
        <w:rPr>
          <w:color w:val="262626"/>
        </w:rPr>
        <w:t xml:space="preserve">C-suite Sponsor Committees (monthly), RAID log (10+ critical risks); steered OMS </w:t>
      </w:r>
      <w:r w:rsidR="00791555">
        <w:rPr>
          <w:color w:val="262626"/>
        </w:rPr>
        <w:t xml:space="preserve">module </w:t>
      </w:r>
      <w:r>
        <w:rPr>
          <w:color w:val="262626"/>
        </w:rPr>
        <w:t xml:space="preserve">go-live (Dec 2025) and </w:t>
      </w:r>
      <w:r w:rsidR="00791555">
        <w:rPr>
          <w:color w:val="262626"/>
        </w:rPr>
        <w:t>CORE module go-live (April 2026)</w:t>
      </w:r>
      <w:r>
        <w:rPr>
          <w:color w:val="262626"/>
        </w:rPr>
        <w:t>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BE94DFA" w14:textId="77777777" w:rsidR="004B17F9" w:rsidRDefault="00000000">
      <w:pPr>
        <w:spacing w:before="160" w:after="30"/>
      </w:pPr>
      <w:r>
        <w:rPr>
          <w:b/>
          <w:color w:val="1F3864"/>
          <w:sz w:val="21"/>
        </w:rPr>
        <w:t>CNP Assurances</w:t>
      </w:r>
      <w:r>
        <w:rPr>
          <w:color w:val="595959"/>
        </w:rPr>
        <w:t xml:space="preserve">  ·  May 2013 – May 2018  (5 years)</w:t>
      </w:r>
    </w:p>
    <w:p w14:paraId="70616621" w14:textId="77777777" w:rsidR="004B17F9" w:rsidRDefault="00000000">
      <w:pPr>
        <w:spacing w:after="60"/>
      </w:pPr>
      <w:r>
        <w:rPr>
          <w:b/>
          <w:i/>
          <w:color w:val="2E75B6"/>
        </w:rPr>
        <w:t>Lead Business Owner — SimCorp Dimension  /  Head of Financial Production &amp; Solvency II</w:t>
      </w:r>
    </w:p>
    <w:p w14:paraId="6397F8FF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Acted as Lead Business Owner for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implementation at one of France's largest life insurers — covering </w:t>
      </w:r>
      <w:r>
        <w:rPr>
          <w:b/>
          <w:color w:val="262626"/>
        </w:rPr>
        <w:t>~€350bn in investment assets</w:t>
      </w:r>
      <w:r>
        <w:rPr>
          <w:color w:val="262626"/>
        </w:rPr>
        <w:t>, one of the largest SimCorp implementations in Europe — covering full ABOR and Solvency II reporting chain.</w:t>
      </w:r>
    </w:p>
    <w:p w14:paraId="583835F6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Drove the entire business workstream: functional design, accounting entries (unit-linked, fixed income, equities), controls, Solvency II reporting architecture, testing, data migration and go-live readiness.</w:t>
      </w:r>
    </w:p>
    <w:p w14:paraId="7F7B0AB6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Financial Production &amp; Solvency II Unit (May–Dec 2013): managed 5-person team. Significantly enhanced the </w:t>
      </w:r>
      <w:r>
        <w:rPr>
          <w:b/>
          <w:color w:val="262626"/>
        </w:rPr>
        <w:t>P&amp;L Forecast model</w:t>
      </w:r>
      <w:r>
        <w:rPr>
          <w:color w:val="262626"/>
        </w:rPr>
        <w:t xml:space="preserve"> — introduced bond reinvestment assumptions (duration/rate), inflation modelling for index-linked bonds, equity return assumptions; extended forecast perimeter to private equity, real estate and land assets. Initiated migration roadmap from legacy </w:t>
      </w:r>
      <w:r>
        <w:rPr>
          <w:b/>
          <w:color w:val="262626"/>
        </w:rPr>
        <w:t>Access</w:t>
      </w:r>
      <w:r>
        <w:rPr>
          <w:color w:val="262626"/>
        </w:rPr>
        <w:t xml:space="preserve"> tools toward </w:t>
      </w:r>
      <w:r>
        <w:rPr>
          <w:b/>
          <w:color w:val="262626"/>
        </w:rPr>
        <w:t>SAS</w:t>
      </w:r>
      <w:r>
        <w:rPr>
          <w:color w:val="262626"/>
        </w:rPr>
        <w:t xml:space="preserve"> (calculation engine) and </w:t>
      </w:r>
      <w:r>
        <w:rPr>
          <w:b/>
          <w:color w:val="262626"/>
        </w:rPr>
        <w:t>QlikView</w:t>
      </w:r>
      <w:r>
        <w:rPr>
          <w:color w:val="262626"/>
        </w:rPr>
        <w:t xml:space="preserve"> (management dashboards).</w:t>
      </w:r>
    </w:p>
    <w:p w14:paraId="2E56DAFC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Supported Fast Close initiative; SME on accounting workstreams: cut-off, unit-linked portfolios, accounting/management reconciliation.</w:t>
      </w:r>
    </w:p>
    <w:p w14:paraId="551BBA8E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23D0BE97" w14:textId="77777777" w:rsidR="004B17F9" w:rsidRDefault="00000000">
      <w:pPr>
        <w:spacing w:before="160" w:after="30"/>
      </w:pPr>
      <w:r>
        <w:rPr>
          <w:b/>
          <w:color w:val="1F3864"/>
          <w:sz w:val="21"/>
        </w:rPr>
        <w:t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1A2C7B01" w14:textId="77777777" w:rsidR="004B17F9" w:rsidRDefault="00000000">
      <w:pPr>
        <w:spacing w:after="60"/>
      </w:pPr>
      <w:r>
        <w:rPr>
          <w:b/>
          <w:i/>
          <w:color w:val="2E75B6"/>
        </w:rPr>
        <w:t>Group Head of Investment Accounting  /  IFRS 9 Project Manager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>Group Head of Investment Accounting  (Jan 2023 – Oct 2024)</w:t>
      </w:r>
    </w:p>
    <w:p w14:paraId="7FAF92F0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investment accounting function for a </w:t>
      </w:r>
      <w:r>
        <w:rPr>
          <w:b/>
          <w:color w:val="262626"/>
        </w:rPr>
        <w:t>~€3bn group investment portfolio</w:t>
      </w:r>
      <w:r>
        <w:rPr>
          <w:color w:val="262626"/>
        </w:rPr>
        <w:t xml:space="preserve"> outsourced to CACEIS (Neoxam GP3/GP4 platform), overseeing </w:t>
      </w:r>
      <w:r>
        <w:rPr>
          <w:b/>
          <w:color w:val="262626"/>
        </w:rPr>
        <w:t>~20 international entities</w:t>
      </w:r>
      <w:r>
        <w:rPr>
          <w:color w:val="262626"/>
        </w:rPr>
        <w:t>.</w:t>
      </w:r>
    </w:p>
    <w:p w14:paraId="0DA4FFAB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Industrialised the </w:t>
      </w:r>
      <w:r>
        <w:rPr>
          <w:b/>
          <w:color w:val="262626"/>
        </w:rPr>
        <w:t>Record-to-Report process</w:t>
      </w:r>
      <w:r>
        <w:rPr>
          <w:color w:val="262626"/>
        </w:rPr>
        <w:t xml:space="preserve"> through a multi-tool automation programme: </w:t>
      </w:r>
      <w:r>
        <w:rPr>
          <w:b/>
          <w:color w:val="262626"/>
        </w:rPr>
        <w:t>Power Query</w:t>
      </w:r>
      <w:r>
        <w:rPr>
          <w:color w:val="262626"/>
        </w:rPr>
        <w:t xml:space="preserve"> workflows for monthly CACEIS data (accounting/management reconciliation, SAP/CACEIS reconciliation, FX analysis, price-variation controls); </w:t>
      </w:r>
      <w:r>
        <w:rPr>
          <w:b/>
          <w:color w:val="262626"/>
        </w:rPr>
        <w:t>VBA macros</w:t>
      </w:r>
      <w:r>
        <w:rPr>
          <w:color w:val="262626"/>
        </w:rPr>
        <w:t xml:space="preserve"> for GP3→SAP YFI format conversion (2 dedicated funds); </w:t>
      </w:r>
      <w:r>
        <w:rPr>
          <w:b/>
          <w:color w:val="262626"/>
        </w:rPr>
        <w:t>SAP FC Publisher</w:t>
      </w:r>
      <w:r>
        <w:rPr>
          <w:color w:val="262626"/>
        </w:rPr>
        <w:t xml:space="preserve"> automation for BFC consolidation queries across all entities.</w:t>
      </w:r>
    </w:p>
    <w:p w14:paraId="0DF10DFA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Automated SAP S/4HANA investment interfaces and SAP→SAP BFC reporting chain, reducing closing timeline from </w:t>
      </w:r>
      <w:r>
        <w:rPr>
          <w:b/>
          <w:color w:val="262626"/>
        </w:rPr>
        <w:t>D+5 to D+3</w:t>
      </w:r>
      <w:r>
        <w:rPr>
          <w:color w:val="262626"/>
        </w:rPr>
        <w:t xml:space="preserve"> and significantly cutting manual workload across group entities.</w:t>
      </w:r>
    </w:p>
    <w:p w14:paraId="73B1F4E7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a consolidated </w:t>
      </w:r>
      <w:r>
        <w:rPr>
          <w:b/>
          <w:color w:val="262626"/>
        </w:rPr>
        <w:t>Power BI</w:t>
      </w:r>
      <w:r>
        <w:rPr>
          <w:color w:val="262626"/>
        </w:rPr>
        <w:t xml:space="preserve"> investment dashboard for CXO-level reporting, replacing manual reporting processes.</w:t>
      </w:r>
    </w:p>
    <w:p w14:paraId="0D0D2DE5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>IFRS 9 Project Manager  (Jan 2020 – Dec 2022)</w:t>
      </w:r>
    </w:p>
    <w:p w14:paraId="4DA653ED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Led Finance workstreams for Coface's IFRS 9 implementation — investment accounting, ECL provisioning model, data migration and close process redesign.</w:t>
      </w:r>
    </w:p>
    <w:p w14:paraId="00EE8B9C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the </w:t>
      </w:r>
      <w:r>
        <w:rPr>
          <w:b/>
          <w:color w:val="262626"/>
        </w:rPr>
        <w:t>ECL (Expected Credit Loss) model</w:t>
      </w:r>
      <w:r>
        <w:rPr>
          <w:color w:val="262626"/>
        </w:rPr>
        <w:t xml:space="preserve"> end-to-end: methodology based on external risk matrices, implemented in </w:t>
      </w:r>
      <w:r>
        <w:rPr>
          <w:b/>
          <w:color w:val="262626"/>
        </w:rPr>
        <w:t>SAS</w:t>
      </w:r>
      <w:r>
        <w:rPr>
          <w:color w:val="262626"/>
        </w:rPr>
        <w:t>, Finance as sole owner. Established monthly variance analysis in post-production. Oversaw UAT and proof-of-concept phases.</w:t>
      </w:r>
    </w:p>
    <w:p w14:paraId="5A6E915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Validated transition accounting schemes; redesigned close calendar under IFRS 9; developed automated control tools.</w:t>
      </w:r>
    </w:p>
    <w:p w14:paraId="5ECAED94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>First assignment  (May 2017 – May 2018)</w:t>
      </w:r>
    </w:p>
    <w:p w14:paraId="2A0941CD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Head of Technical Accounting — investment accounting production, regulatory reporting, operating model redesign.</w:t>
      </w:r>
    </w:p>
    <w:p w14:paraId="402E12B0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 shared </w:t>
      </w:r>
      <w:r>
        <w:rPr>
          <w:b/>
          <w:color w:val="262626"/>
        </w:rPr>
        <w:t>investment data platform in SAS</w:t>
      </w:r>
      <w:r>
        <w:rPr>
          <w:color w:val="262626"/>
        </w:rPr>
        <w:t>, covering data sourcing, data model architecture, quality controls, data governance and management reporting; the platform served as the backbone for all subsequent investment analytics work, including the IFRS 9 ECL model deployed in 2020.</w:t>
      </w:r>
    </w:p>
    <w:p w14:paraId="428FD323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22A3C075" w14:textId="26515906" w:rsidR="004B17F9" w:rsidRDefault="00000000">
      <w:pPr>
        <w:spacing w:before="160" w:after="30"/>
      </w:pPr>
      <w:proofErr w:type="spellStart"/>
      <w:r>
        <w:rPr>
          <w:b/>
          <w:color w:val="1F3864"/>
          <w:sz w:val="21"/>
        </w:rPr>
        <w:lastRenderedPageBreak/>
        <w:t>Primexis</w:t>
      </w:r>
      <w:proofErr w:type="spellEnd"/>
      <w:r>
        <w:rPr>
          <w:b/>
          <w:color w:val="1F3864"/>
          <w:sz w:val="21"/>
        </w:rPr>
        <w:t xml:space="preserve">  —  CFO Advisory  /  SCOR Investment Partners</w:t>
      </w:r>
      <w:r>
        <w:rPr>
          <w:color w:val="595959"/>
        </w:rPr>
        <w:t xml:space="preserve">  ·  Oct 2008 – Apr 2013  (4.5 years)</w:t>
      </w:r>
    </w:p>
    <w:p w14:paraId="7F1AFAB4" w14:textId="77777777" w:rsidR="004B17F9" w:rsidRDefault="00000000">
      <w:pPr>
        <w:spacing w:after="60"/>
      </w:pPr>
      <w:r>
        <w:rPr>
          <w:b/>
          <w:i/>
          <w:color w:val="2E75B6"/>
        </w:rPr>
        <w:t>Associate Director — Insurance Practice  /  SimCorp PM at SCOR Investment Partners</w:t>
      </w:r>
    </w:p>
    <w:p w14:paraId="4910C00E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Concurrent SimCorp Dimension Project Manager at SCOR Investment Partners (Nov 2008 – May 2012, 3.5 years): led migration from </w:t>
      </w:r>
      <w:r>
        <w:rPr>
          <w:b/>
          <w:color w:val="262626"/>
        </w:rPr>
        <w:t>Linedata Chorus</w:t>
      </w:r>
      <w:r>
        <w:rPr>
          <w:color w:val="262626"/>
        </w:rPr>
        <w:t xml:space="preserve"> (MO/BO/accounting) to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across Head Office and foreign entities — </w:t>
      </w:r>
      <w:r>
        <w:rPr>
          <w:b/>
          <w:color w:val="262626"/>
        </w:rPr>
        <w:t>€20bn AUM</w:t>
      </w:r>
      <w:r>
        <w:rPr>
          <w:color w:val="262626"/>
        </w:rPr>
        <w:t>, 12-person team. Bloomberg maintained as FO system with full SimCorp integration.</w:t>
      </w:r>
    </w:p>
    <w:p w14:paraId="22A4ABE2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look-through automation</w:t>
      </w:r>
      <w:r>
        <w:rPr>
          <w:color w:val="262626"/>
        </w:rPr>
        <w:t xml:space="preserve"> for dedicated UCITS funds: automated underlying asset consolidation, sensitivity calculations and Solvency II transparisation — eliminating manual restatement processes.</w:t>
      </w:r>
    </w:p>
    <w:p w14:paraId="2262CBEE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Managed US portfolio migration including structured products; defined AMF-compliant investment reporting and branch restructuring for foreign subsidiaries.</w:t>
      </w:r>
    </w:p>
    <w:p w14:paraId="4336203C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As Associate Director at Primexis: built a </w:t>
      </w:r>
      <w:r>
        <w:rPr>
          <w:b/>
          <w:color w:val="262626"/>
        </w:rPr>
        <w:t>20-consultant Insurance practice</w:t>
      </w:r>
      <w:r>
        <w:rPr>
          <w:color w:val="262626"/>
        </w:rPr>
        <w:t xml:space="preserve"> generating </w:t>
      </w:r>
      <w:r>
        <w:rPr>
          <w:b/>
          <w:color w:val="262626"/>
        </w:rPr>
        <w:t>€3m annual revenue</w:t>
      </w:r>
      <w:r>
        <w:rPr>
          <w:color w:val="262626"/>
        </w:rPr>
        <w:t xml:space="preserve"> across 10 clients. Served on Executive Committee.</w:t>
      </w:r>
    </w:p>
    <w:p w14:paraId="0E7F6F2C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49D8A880" w14:textId="77777777" w:rsidR="004B17F9" w:rsidRDefault="00000000">
      <w:pPr>
        <w:spacing w:before="160" w:after="30"/>
      </w:pPr>
      <w:r>
        <w:rPr>
          <w:b/>
          <w:color w:val="1F3864"/>
          <w:sz w:val="21"/>
        </w:rPr>
        <w:t>SCOR  —  Investment Department</w:t>
      </w:r>
      <w:r>
        <w:rPr>
          <w:color w:val="595959"/>
        </w:rPr>
        <w:t xml:space="preserve">  ·  Oct 2005 – Sep 2008  (3 years)</w:t>
      </w:r>
    </w:p>
    <w:p w14:paraId="17C51536" w14:textId="77777777" w:rsidR="004B17F9" w:rsidRDefault="00000000">
      <w:pPr>
        <w:spacing w:after="60"/>
      </w:pPr>
      <w:r>
        <w:rPr>
          <w:b/>
          <w:i/>
          <w:color w:val="2E75B6"/>
        </w:rPr>
        <w:t>Head of Transformation Projects  /  Head of Group Consolidation</w:t>
      </w:r>
    </w:p>
    <w:p w14:paraId="7ECB82DE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Advised Investment COO; led transformation of SCOR's investment department into a standalone AM structure — replacing a fragmented </w:t>
      </w:r>
      <w:r>
        <w:rPr>
          <w:b/>
          <w:color w:val="262626"/>
        </w:rPr>
        <w:t>Bloomberg (FO) + Linedata Chorus (MO/BO/accounting)</w:t>
      </w:r>
      <w:r>
        <w:rPr>
          <w:color w:val="262626"/>
        </w:rPr>
        <w:t xml:space="preserve"> environment with a fully integrated front-to-accounting platform.</w:t>
      </w:r>
    </w:p>
    <w:p w14:paraId="60687F13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RFI/RFP for investment platform and performance attribution tool; managed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selection and implementation governance. Project budget: </w:t>
      </w:r>
      <w:r>
        <w:rPr>
          <w:b/>
          <w:color w:val="262626"/>
        </w:rPr>
        <w:t>€3m/year</w:t>
      </w:r>
      <w:r>
        <w:rPr>
          <w:color w:val="262626"/>
        </w:rPr>
        <w:t>.</w:t>
      </w:r>
    </w:p>
    <w:p w14:paraId="23DFE27B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Head of Group Consolidation &amp; Accounting Standards (Oct 2005 – Jul 2006): quarterly IFRS and annual US GAAP consolidated reporting; Group accounting policy definition; team of 5.</w:t>
      </w:r>
    </w:p>
    <w:p w14:paraId="5F0055B5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2AE4F678" w14:textId="77777777" w:rsidR="004B17F9" w:rsidRDefault="00000000">
      <w:pPr>
        <w:spacing w:before="160" w:after="30"/>
      </w:pPr>
      <w:r>
        <w:rPr>
          <w:b/>
          <w:color w:val="1F3864"/>
          <w:sz w:val="21"/>
        </w:rPr>
        <w:t>Coface  —  Group Finance</w:t>
      </w:r>
      <w:r>
        <w:rPr>
          <w:color w:val="595959"/>
        </w:rPr>
        <w:t xml:space="preserve">  ·  May 2004 – Oct 2005  (18 months)</w:t>
      </w:r>
    </w:p>
    <w:p w14:paraId="2CD01AC8" w14:textId="77777777" w:rsidR="004B17F9" w:rsidRDefault="00000000">
      <w:pPr>
        <w:spacing w:after="60"/>
      </w:pPr>
      <w:r>
        <w:rPr>
          <w:b/>
          <w:i/>
          <w:color w:val="2E75B6"/>
        </w:rPr>
        <w:t>Head of Technical Accounting and Reserving</w:t>
      </w:r>
    </w:p>
    <w:p w14:paraId="46A0458B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Bornhuetter-Ferguson stochastic reserving methodology</w:t>
      </w:r>
      <w:r>
        <w:rPr>
          <w:color w:val="262626"/>
        </w:rPr>
        <w:t xml:space="preserve"> — replacing manual estimation with a structured quantitative model. Coordinated accounting, actuarial and operational stakeholders; accelerated close process.</w:t>
      </w:r>
    </w:p>
    <w:p w14:paraId="0D98CC00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Investment accounting, technical insurance accounting; intercompany reconciliations; Group Finance coordination.</w:t>
      </w:r>
    </w:p>
    <w:p w14:paraId="39D6E20F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03AB2CEC" w14:textId="77777777" w:rsidR="004B17F9" w:rsidRDefault="00000000">
      <w:pPr>
        <w:spacing w:before="160" w:after="30"/>
      </w:pPr>
      <w:r>
        <w:rPr>
          <w:b/>
          <w:color w:val="1F3864"/>
          <w:sz w:val="21"/>
        </w:rPr>
        <w:t>Mazars</w:t>
      </w:r>
      <w:r>
        <w:rPr>
          <w:color w:val="595959"/>
        </w:rPr>
        <w:t xml:space="preserve">  ·  Sep 1999 – May 2004  (5 years)</w:t>
      </w:r>
    </w:p>
    <w:p w14:paraId="58E71A8C" w14:textId="77777777" w:rsidR="004B17F9" w:rsidRDefault="00000000">
      <w:pPr>
        <w:spacing w:after="60"/>
      </w:pPr>
      <w:r>
        <w:rPr>
          <w:b/>
          <w:i/>
          <w:color w:val="2E75B6"/>
        </w:rPr>
        <w:t>Audit Manager — Insurance &amp; Reinsurance Practice</w:t>
      </w:r>
    </w:p>
    <w:p w14:paraId="34F24B45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Statutory audit, internal control reviews, due diligence and transaction support for insurers and reinsurers.</w:t>
      </w:r>
    </w:p>
    <w:p w14:paraId="4E3E6ACF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>Investment function reviews; financial control and forecasting work.</w:t>
      </w:r>
    </w:p>
    <w:p w14:paraId="4B9471BF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>ESCP Business School</w:t>
      </w:r>
      <w:r>
        <w:rPr>
          <w:color w:val="262626"/>
        </w:rPr>
        <w:t xml:space="preserve">  —  Grande École — Master in Management  |  Major: Finance</w:t>
      </w:r>
      <w:r>
        <w:rPr>
          <w:color w:val="595959"/>
          <w:sz w:val="18"/>
        </w:rPr>
        <w:t xml:space="preserve">  |  1991–1995</w:t>
      </w:r>
    </w:p>
    <w:p w14:paraId="60C55D57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>Centre d'Études Actuarielles, Paris</w:t>
      </w:r>
      <w:r>
        <w:rPr>
          <w:color w:val="262626"/>
        </w:rPr>
        <w:t xml:space="preserve">  —  Master in Actuarial Science</w:t>
      </w:r>
      <w:r>
        <w:rPr>
          <w:color w:val="595959"/>
          <w:sz w:val="18"/>
        </w:rPr>
        <w:t xml:space="preserve">  |  2002–2004</w:t>
      </w:r>
    </w:p>
    <w:p w14:paraId="0E9ACE04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>ENOES — École de l'Expertise Comptable</w:t>
      </w:r>
      <w:r>
        <w:rPr>
          <w:color w:val="262626"/>
        </w:rPr>
        <w:t xml:space="preserve">  —  D.E.C.F. (French CPA-equivalent)</w:t>
      </w:r>
      <w:r>
        <w:rPr>
          <w:color w:val="595959"/>
          <w:sz w:val="18"/>
        </w:rPr>
        <w:t xml:space="preserve">  |  2001</w:t>
      </w:r>
    </w:p>
    <w:p w14:paraId="63DE2925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5CDD6B66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>Project Management Institute</w:t>
      </w:r>
      <w:r>
        <w:rPr>
          <w:color w:val="262626"/>
        </w:rPr>
        <w:t xml:space="preserve">  —  PMP® — Project Management Professional (active)</w:t>
      </w:r>
    </w:p>
    <w:p w14:paraId="356E04AB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>Certifications</w:t>
      </w:r>
      <w:r>
        <w:rPr>
          <w:color w:val="262626"/>
        </w:rPr>
        <w:t xml:space="preserve">  —  Generative AI Primer  |  GenAI for Account Executives</w:t>
      </w:r>
    </w:p>
    <w:p w14:paraId="58B5DB14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53A268A1" w14:textId="77777777" w:rsidR="004B17F9" w:rsidRDefault="00000000">
      <w:pPr>
        <w:spacing w:before="80" w:after="80"/>
        <w:ind w:left="180"/>
      </w:pPr>
      <w:r>
        <w:rPr>
          <w:color w:val="262626"/>
        </w:rPr>
        <w:t>French: Native  |  English: Full professional proficiency (C1/C2)  |  Spanish &amp; Italian: elementary  |  German: limited working</w:t>
      </w:r>
    </w:p>
    <w:p w14:paraId="1894C494" w14:textId="77777777" w:rsidR="004B17F9" w:rsidRDefault="00000000">
      <w:pPr>
        <w:spacing w:after="80"/>
        <w:ind w:left="180"/>
      </w:pPr>
      <w:r>
        <w:rPr>
          <w:color w:val="262626"/>
        </w:rPr>
        <w:t>Available: May 2026  |  Format: Remote preferred, hybrid considered  |  Geography: France, UK, Continental Europe, North America, APAC</w:t>
      </w:r>
    </w:p>
    <w:sectPr w:rsidR="004B17F9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7075"/>
    <w:multiLevelType w:val="hybridMultilevel"/>
    <w:tmpl w:val="2EB66DBC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9947A5E"/>
    <w:multiLevelType w:val="hybridMultilevel"/>
    <w:tmpl w:val="705CEEE4"/>
    <w:lvl w:ilvl="0" w:tplc="04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319575198">
    <w:abstractNumId w:val="8"/>
  </w:num>
  <w:num w:numId="2" w16cid:durableId="829560583">
    <w:abstractNumId w:val="6"/>
  </w:num>
  <w:num w:numId="3" w16cid:durableId="1552499846">
    <w:abstractNumId w:val="5"/>
  </w:num>
  <w:num w:numId="4" w16cid:durableId="1850682786">
    <w:abstractNumId w:val="4"/>
  </w:num>
  <w:num w:numId="5" w16cid:durableId="897589947">
    <w:abstractNumId w:val="7"/>
  </w:num>
  <w:num w:numId="6" w16cid:durableId="1005205406">
    <w:abstractNumId w:val="3"/>
  </w:num>
  <w:num w:numId="7" w16cid:durableId="1757703315">
    <w:abstractNumId w:val="2"/>
  </w:num>
  <w:num w:numId="8" w16cid:durableId="1139685493">
    <w:abstractNumId w:val="1"/>
  </w:num>
  <w:num w:numId="9" w16cid:durableId="233243014">
    <w:abstractNumId w:val="0"/>
  </w:num>
  <w:num w:numId="10" w16cid:durableId="321861825">
    <w:abstractNumId w:val="9"/>
  </w:num>
  <w:num w:numId="11" w16cid:durableId="2695558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ED7"/>
    <w:rsid w:val="0029639D"/>
    <w:rsid w:val="00326F90"/>
    <w:rsid w:val="0044507F"/>
    <w:rsid w:val="004B17F9"/>
    <w:rsid w:val="00791555"/>
    <w:rsid w:val="00AA1D8D"/>
    <w:rsid w:val="00B47730"/>
    <w:rsid w:val="00CB0664"/>
    <w:rsid w:val="00CF0009"/>
    <w:rsid w:val="00E97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FFE5A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1759</Words>
  <Characters>9675</Characters>
  <Application>Microsoft Office Word</Application>
  <DocSecurity>0</DocSecurity>
  <Lines>80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Robitaille</cp:lastModifiedBy>
  <cp:revision>3</cp:revision>
  <dcterms:created xsi:type="dcterms:W3CDTF">2013-12-23T23:15:00Z</dcterms:created>
  <dcterms:modified xsi:type="dcterms:W3CDTF">2026-05-11T15:04:00Z</dcterms:modified>
  <cp:category/>
</cp:coreProperties>
</file>