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EDE10" w14:textId="77777777" w:rsidR="007E13C3" w:rsidRDefault="00000000">
      <w:pPr>
        <w:shd w:val="clear" w:color="auto" w:fill="1F3864"/>
        <w:spacing w:after="0" w:line="240" w:lineRule="auto"/>
        <w:jc w:val="center"/>
      </w:pPr>
      <w:r>
        <w:rPr>
          <w:b/>
          <w:color w:val="FFFFFF"/>
          <w:sz w:val="32"/>
        </w:rPr>
        <w:t>XAVIER ROBITAILLE</w:t>
      </w:r>
    </w:p>
    <w:p w14:paraId="2589EAC0" w14:textId="6F819129" w:rsidR="007E13C3" w:rsidRPr="006D7B53" w:rsidRDefault="00000000">
      <w:pPr>
        <w:shd w:val="clear" w:color="auto" w:fill="1F3864"/>
        <w:spacing w:after="0" w:line="240" w:lineRule="auto"/>
        <w:jc w:val="center"/>
        <w:rPr>
          <w:sz w:val="4"/>
          <w:szCs w:val="6"/>
        </w:rPr>
      </w:pPr>
      <w:r>
        <w:rPr>
          <w:color w:val="D6E4F0"/>
        </w:rPr>
        <w:t>Senior Finance Transformation Consultant  |  PMO &amp; Programme Delivery  |  Insurance &amp; Asset Management</w:t>
      </w:r>
      <w:r w:rsidR="006D7B53">
        <w:rPr>
          <w:color w:val="D6E4F0"/>
        </w:rPr>
        <w:br/>
      </w:r>
    </w:p>
    <w:p w14:paraId="36FF808C" w14:textId="550032B4" w:rsidR="007E13C3" w:rsidRPr="006D7B53" w:rsidRDefault="00000000">
      <w:pPr>
        <w:shd w:val="clear" w:color="auto" w:fill="2E75B6"/>
        <w:spacing w:before="60" w:after="60" w:line="240" w:lineRule="auto"/>
        <w:jc w:val="center"/>
        <w:rPr>
          <w:sz w:val="4"/>
          <w:szCs w:val="10"/>
        </w:rPr>
      </w:pPr>
      <w:r>
        <w:rPr>
          <w:color w:val="FFFFFF"/>
          <w:sz w:val="18"/>
        </w:rPr>
        <w:t>+33 6 64 89 09 43  |  xrobitaille92150@gmail.com  |  linkedin.com/in/xrobitaille  |  Open to remote / international assignments</w:t>
      </w:r>
      <w:r w:rsidR="006D7B53">
        <w:rPr>
          <w:color w:val="FFFFFF"/>
          <w:sz w:val="18"/>
        </w:rPr>
        <w:br/>
      </w:r>
    </w:p>
    <w:p w14:paraId="7D926E6D" w14:textId="77777777" w:rsidR="006D7B53" w:rsidRPr="006D7B53" w:rsidRDefault="00000000" w:rsidP="006D7B53">
      <w:pPr>
        <w:spacing w:after="0"/>
        <w:rPr>
          <w:sz w:val="2"/>
          <w:szCs w:val="2"/>
        </w:rPr>
      </w:pPr>
      <w:r w:rsidRPr="006D7B53">
        <w:rPr>
          <w:sz w:val="2"/>
          <w:szCs w:val="2"/>
        </w:rPr>
        <w:t xml:space="preserve">  </w:t>
      </w:r>
    </w:p>
    <w:p w14:paraId="02F34890" w14:textId="2790EAF5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>EXECUTIVE SUMMARY</w:t>
      </w:r>
    </w:p>
    <w:p w14:paraId="3630E551" w14:textId="77777777" w:rsidR="001A51F6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Senior finance transformation professional</w:t>
      </w:r>
      <w:r w:rsidRPr="00C70F2A">
        <w:rPr>
          <w:color w:val="262626"/>
        </w:rPr>
        <w:t xml:space="preserve"> with 25+ years of experience across insurance, reinsurance and asset management. Combines consulting discipline, technical accounting depth and hands-on programme delivery across the most demanding segments of CFO-office transformation.</w:t>
      </w:r>
    </w:p>
    <w:p w14:paraId="79BB0B88" w14:textId="79C577C6" w:rsidR="001A51F6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Core expertise:</w:t>
      </w:r>
      <w:r w:rsidRPr="00C70F2A">
        <w:rPr>
          <w:color w:val="262626"/>
        </w:rPr>
        <w:t xml:space="preserve"> IFRS 9 / IFRS 17 / Solvency II implementation, investment accounting transformation, Record-to-Report (R2R) process redesign, finance operating model design, closing optimisation, regulatory reporting automation and PMO governance. Track record of senior stakeholder alignment (CFO, COO, CIO level) and go-live delivery across cloud-native SaaS and </w:t>
      </w:r>
      <w:r w:rsidR="006D7B53" w:rsidRPr="00C70F2A">
        <w:rPr>
          <w:color w:val="262626"/>
        </w:rPr>
        <w:t>on-premises</w:t>
      </w:r>
      <w:r w:rsidRPr="00C70F2A">
        <w:rPr>
          <w:color w:val="262626"/>
        </w:rPr>
        <w:t xml:space="preserve"> platforms (Clearwater Analytics, SimCorp Dimension, SAP S/4HANA, Bloomberg).</w:t>
      </w:r>
    </w:p>
    <w:p w14:paraId="4D4C18A1" w14:textId="77777777" w:rsidR="00C70F2A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color w:val="262626"/>
        </w:rPr>
        <w:t xml:space="preserve">Particularly effective in </w:t>
      </w:r>
      <w:r w:rsidRPr="00C70F2A">
        <w:rPr>
          <w:b/>
          <w:bCs/>
          <w:color w:val="262626"/>
        </w:rPr>
        <w:t>tech-enabled transformation contexts</w:t>
      </w:r>
      <w:r w:rsidRPr="00C70F2A">
        <w:rPr>
          <w:color w:val="262626"/>
        </w:rPr>
        <w:t xml:space="preserve"> — where process automation, AI-driven controls and data platform modernisation are as critical as technical accounting expertise. </w:t>
      </w:r>
    </w:p>
    <w:p w14:paraId="4A337DA6" w14:textId="7FF3B20F" w:rsidR="007E13C3" w:rsidRPr="00C70F2A" w:rsidRDefault="00000000" w:rsidP="00C70F2A">
      <w:pPr>
        <w:pStyle w:val="Paragraphedeliste"/>
        <w:numPr>
          <w:ilvl w:val="0"/>
          <w:numId w:val="12"/>
        </w:numPr>
        <w:spacing w:before="80" w:after="80"/>
        <w:ind w:left="142" w:right="120" w:hanging="142"/>
        <w:jc w:val="both"/>
        <w:rPr>
          <w:color w:val="262626"/>
        </w:rPr>
      </w:pPr>
      <w:r w:rsidRPr="00C70F2A">
        <w:rPr>
          <w:b/>
          <w:bCs/>
          <w:color w:val="262626"/>
        </w:rPr>
        <w:t>Fully bilingual EN/FR</w:t>
      </w:r>
      <w:r w:rsidRPr="00C70F2A">
        <w:rPr>
          <w:color w:val="262626"/>
        </w:rPr>
        <w:t>. Available for remote</w:t>
      </w:r>
      <w:r w:rsidR="00C70F2A" w:rsidRPr="00C70F2A">
        <w:rPr>
          <w:color w:val="262626"/>
        </w:rPr>
        <w:t xml:space="preserve"> jobs worldwide /</w:t>
      </w:r>
      <w:r w:rsidRPr="00C70F2A">
        <w:rPr>
          <w:color w:val="262626"/>
        </w:rPr>
        <w:t xml:space="preserve"> hybrid or on-site across </w:t>
      </w:r>
      <w:r w:rsidR="00C70F2A" w:rsidRPr="00C70F2A">
        <w:rPr>
          <w:color w:val="262626"/>
        </w:rPr>
        <w:t>continental Europe and UK.</w:t>
      </w:r>
    </w:p>
    <w:p w14:paraId="34683222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CORE KEYWORDS</w:t>
      </w:r>
    </w:p>
    <w:p w14:paraId="1C581141" w14:textId="77777777" w:rsidR="007E13C3" w:rsidRDefault="00000000">
      <w:pPr>
        <w:spacing w:before="60" w:after="60"/>
        <w:ind w:left="120" w:right="120"/>
      </w:pPr>
      <w:r>
        <w:rPr>
          <w:color w:val="262626"/>
          <w:sz w:val="18"/>
        </w:rPr>
        <w:t>Finance Transformation  |  Interim Finance Management  |  PMO  |  CFO Office  |  Programme Delivery  |  IFRS 9  |  IFRS 17  |  Solvency II  |  Investment Accounting  |  Record to Report (R2R)  |  Process Automation  |  Process Optimisation  |  Intelligent Automation  |  Tech-Enabled Transformation  |  Target Operating Model  |  Closing Optimisation  |  Regulatory Reporting  |  SaaS / Cloud Finance Platforms  |  Data Management  |  UAT Management  |  Data Migration  |  Go-live Support  |  SimCorp Dimension  |  Clearwater Analytics  |  SAP S/4HANA  |  SAP BFC  |  Bloomberg  |  Power BI  |  SAS</w:t>
      </w:r>
    </w:p>
    <w:p w14:paraId="799AA85A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PROFESSIONAL EXPERIENCE</w:t>
      </w:r>
    </w:p>
    <w:p w14:paraId="3D39784F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Clearwater Analytics</w:t>
      </w:r>
      <w:r>
        <w:rPr>
          <w:color w:val="595959"/>
        </w:rPr>
        <w:t xml:space="preserve">  ·  Nov 2024 – Apr 2026  (18 months)</w:t>
      </w:r>
    </w:p>
    <w:p w14:paraId="60C95307" w14:textId="77777777" w:rsidR="007E13C3" w:rsidRDefault="00000000">
      <w:pPr>
        <w:spacing w:after="60"/>
      </w:pPr>
      <w:r>
        <w:rPr>
          <w:b/>
          <w:i/>
          <w:color w:val="2E75B6"/>
        </w:rPr>
        <w:t>Senior Programme Manager — Cloud-Native Investment Platform &amp; Finance Automation</w:t>
      </w:r>
    </w:p>
    <w:p w14:paraId="268315B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end-to-end delivery of a </w:t>
      </w:r>
      <w:r>
        <w:rPr>
          <w:b/>
          <w:color w:val="262626"/>
        </w:rPr>
        <w:t>Clearwater Analytics SaaS</w:t>
      </w:r>
      <w:r>
        <w:rPr>
          <w:color w:val="262626"/>
        </w:rPr>
        <w:t xml:space="preserve"> platform for a French reinsurer (</w:t>
      </w:r>
      <w:r>
        <w:rPr>
          <w:b/>
          <w:color w:val="262626"/>
        </w:rPr>
        <w:t>€11bn AUM</w:t>
      </w:r>
      <w:r>
        <w:rPr>
          <w:color w:val="262626"/>
        </w:rPr>
        <w:t xml:space="preserve">: fixed income, TCN, listed funds, closed-end funds), replacing a legacy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system — the second complete Chorus replacement in this career (first: Chorus → SimCorp Dimension at SCOR IP, 2008–2012).</w:t>
      </w:r>
    </w:p>
    <w:p w14:paraId="0DE44BEC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Delivered full </w:t>
      </w:r>
      <w:r>
        <w:rPr>
          <w:b/>
          <w:color w:val="262626"/>
        </w:rPr>
        <w:t>straight-through processing (STP)</w:t>
      </w:r>
      <w:r>
        <w:rPr>
          <w:color w:val="262626"/>
        </w:rPr>
        <w:t xml:space="preserve"> across the investment value chain: order management → accounting production → Solvency II regulatory reporting — eliminating manual re-entry across Front Office, Middle Office, Back Office and IT.</w:t>
      </w:r>
    </w:p>
    <w:p w14:paraId="0A4152B0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Automated custodian and bank reconciliation: frequency increased from </w:t>
      </w:r>
      <w:r>
        <w:rPr>
          <w:b/>
          <w:color w:val="262626"/>
        </w:rPr>
        <w:t>weekly to daily</w:t>
      </w:r>
      <w:r>
        <w:rPr>
          <w:color w:val="262626"/>
        </w:rPr>
        <w:t xml:space="preserve">; deployed </w:t>
      </w:r>
      <w:r>
        <w:rPr>
          <w:b/>
          <w:color w:val="262626"/>
        </w:rPr>
        <w:t>AI-assisted tripartite reconciliation</w:t>
      </w:r>
      <w:r>
        <w:rPr>
          <w:color w:val="262626"/>
        </w:rPr>
        <w:t xml:space="preserve"> (Front Office / Back Office / custodian) with automated discrepancy pre-diagnosis.</w:t>
      </w:r>
    </w:p>
    <w:p w14:paraId="070DD506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Implemented </w:t>
      </w:r>
      <w:r>
        <w:rPr>
          <w:b/>
          <w:color w:val="262626"/>
        </w:rPr>
        <w:t>AI-powered control framework</w:t>
      </w:r>
      <w:r>
        <w:rPr>
          <w:color w:val="262626"/>
        </w:rPr>
        <w:t>: price-variation monitoring, input reception controls, and AI-driven automated processing of closed-end fund instructions (capital calls, monthly NAV valuations).</w:t>
      </w:r>
    </w:p>
    <w:p w14:paraId="38B20BAA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Reduced closing cycle from </w:t>
      </w:r>
      <w:r>
        <w:rPr>
          <w:b/>
          <w:color w:val="262626"/>
        </w:rPr>
        <w:t>D+4 to D+2</w:t>
      </w:r>
      <w:r>
        <w:rPr>
          <w:color w:val="262626"/>
        </w:rPr>
        <w:t xml:space="preserve"> through end-to-end process automation and STP architecture.</w:t>
      </w:r>
    </w:p>
    <w:p w14:paraId="21765359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Multi-module implementation: CW CORE (portfolio analytics), OMS/Jump (order management), LPx (private equity); integrations to Bloomberg TSOX, Bloomberg Data License, CODA (GL), Solvency II reporting systems.</w:t>
      </w:r>
    </w:p>
    <w:p w14:paraId="536847F6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Programme governance: C-suite Sponsor Committees (monthly), RAID log (10+ critical risks), bilingual EN/FR SteerCo; steered OMS/Jump go-live (Dec 2025) and full Hypercare period; managed multi-phase UAT and security master onboarding.</w:t>
      </w:r>
    </w:p>
    <w:p w14:paraId="629D7EE8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4F1A829E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Coface Group  —  Group Finance</w:t>
      </w:r>
      <w:r>
        <w:rPr>
          <w:color w:val="595959"/>
        </w:rPr>
        <w:t xml:space="preserve">  ·  May 2017 – May 2018  +  Jan 2020 – Oct 2024  (5 years)</w:t>
      </w:r>
    </w:p>
    <w:p w14:paraId="4711B64C" w14:textId="77777777" w:rsidR="007E13C3" w:rsidRDefault="00000000">
      <w:pPr>
        <w:spacing w:after="60"/>
      </w:pPr>
      <w:r>
        <w:rPr>
          <w:b/>
          <w:i/>
          <w:color w:val="2E75B6"/>
        </w:rPr>
        <w:t>Group Head of Investment Accounting  /  IFRS 9 Project Manager</w:t>
      </w:r>
    </w:p>
    <w:p w14:paraId="0D8B65B8" w14:textId="77777777" w:rsidR="007E13C3" w:rsidRDefault="00000000" w:rsidP="006D7B53">
      <w:pPr>
        <w:spacing w:before="80" w:after="20"/>
        <w:ind w:left="180"/>
        <w:jc w:val="both"/>
      </w:pPr>
      <w:r>
        <w:rPr>
          <w:b/>
          <w:color w:val="2E75B6"/>
        </w:rPr>
        <w:t>Group Head of Investment Accounting  (Jan 2023 – Oct 2024)</w:t>
      </w:r>
    </w:p>
    <w:p w14:paraId="37C9EABB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investment accounting function for a </w:t>
      </w:r>
      <w:r>
        <w:rPr>
          <w:b/>
          <w:color w:val="262626"/>
        </w:rPr>
        <w:t>~€3bn group investment portfolio</w:t>
      </w:r>
      <w:r>
        <w:rPr>
          <w:color w:val="262626"/>
        </w:rPr>
        <w:t xml:space="preserve"> outsourced to CACEIS (Neoxam GP3/GP4 platform), overseeing </w:t>
      </w:r>
      <w:r>
        <w:rPr>
          <w:b/>
          <w:color w:val="262626"/>
        </w:rPr>
        <w:t>~20 international entities</w:t>
      </w:r>
      <w:r>
        <w:rPr>
          <w:color w:val="262626"/>
        </w:rPr>
        <w:t>.</w:t>
      </w:r>
    </w:p>
    <w:p w14:paraId="583EEC30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Industrialised the </w:t>
      </w:r>
      <w:r>
        <w:rPr>
          <w:b/>
          <w:color w:val="262626"/>
        </w:rPr>
        <w:t>Record-to-Report process</w:t>
      </w:r>
      <w:r>
        <w:rPr>
          <w:color w:val="262626"/>
        </w:rPr>
        <w:t xml:space="preserve"> through a multi-tool automation programme: </w:t>
      </w:r>
      <w:r>
        <w:rPr>
          <w:b/>
          <w:color w:val="262626"/>
        </w:rPr>
        <w:t>Power Query</w:t>
      </w:r>
      <w:r>
        <w:rPr>
          <w:color w:val="262626"/>
        </w:rPr>
        <w:t xml:space="preserve"> workflows for monthly CACEIS data (accounting/management reconciliation, SAP/CACEIS reconciliation, FX analysis, price-</w:t>
      </w:r>
      <w:r>
        <w:rPr>
          <w:color w:val="262626"/>
        </w:rPr>
        <w:lastRenderedPageBreak/>
        <w:t xml:space="preserve">variation controls); </w:t>
      </w:r>
      <w:r>
        <w:rPr>
          <w:b/>
          <w:color w:val="262626"/>
        </w:rPr>
        <w:t>VBA macros</w:t>
      </w:r>
      <w:r>
        <w:rPr>
          <w:color w:val="262626"/>
        </w:rPr>
        <w:t xml:space="preserve"> for GP3→SAP YFI format conversion (2 dedicated funds); </w:t>
      </w:r>
      <w:r>
        <w:rPr>
          <w:b/>
          <w:color w:val="262626"/>
        </w:rPr>
        <w:t>SAP FC Publisher</w:t>
      </w:r>
      <w:r>
        <w:rPr>
          <w:color w:val="262626"/>
        </w:rPr>
        <w:t xml:space="preserve"> automation for BFC consolidation queries across all entities.</w:t>
      </w:r>
    </w:p>
    <w:p w14:paraId="00F7C8A1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Automated SAP S/4HANA investment interfaces and SAP→SAP BFC reporting chain, reducing closing timeline from </w:t>
      </w:r>
      <w:r>
        <w:rPr>
          <w:b/>
          <w:color w:val="262626"/>
        </w:rPr>
        <w:t>D+5 to D+3</w:t>
      </w:r>
      <w:r>
        <w:rPr>
          <w:color w:val="262626"/>
        </w:rPr>
        <w:t xml:space="preserve"> and significantly cutting manual workload across group entities.</w:t>
      </w:r>
    </w:p>
    <w:p w14:paraId="3CD87E2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Delivered a consolidated </w:t>
      </w:r>
      <w:r>
        <w:rPr>
          <w:b/>
          <w:color w:val="262626"/>
        </w:rPr>
        <w:t>Power BI</w:t>
      </w:r>
      <w:r>
        <w:rPr>
          <w:color w:val="262626"/>
        </w:rPr>
        <w:t xml:space="preserve"> investment dashboard for CXO-level reporting, replacing manual reporting processes.</w:t>
      </w:r>
    </w:p>
    <w:p w14:paraId="3D96471A" w14:textId="77777777" w:rsidR="007E13C3" w:rsidRDefault="00000000">
      <w:pPr>
        <w:spacing w:before="80" w:after="20"/>
        <w:ind w:left="180"/>
      </w:pPr>
      <w:r>
        <w:rPr>
          <w:b/>
          <w:color w:val="2E75B6"/>
        </w:rPr>
        <w:t>IFRS 9 Project Manager  (Jan 2020 – Dec 2022)</w:t>
      </w:r>
    </w:p>
    <w:p w14:paraId="49328184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Led Finance workstreams for Coface's IFRS 9 implementation — investment accounting, ECL provisioning model, data migration and close process redesign.</w:t>
      </w:r>
    </w:p>
    <w:p w14:paraId="319F9353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Designed the </w:t>
      </w:r>
      <w:r>
        <w:rPr>
          <w:b/>
          <w:color w:val="262626"/>
        </w:rPr>
        <w:t>ECL (Expected Credit Loss) model</w:t>
      </w:r>
      <w:r>
        <w:rPr>
          <w:color w:val="262626"/>
        </w:rPr>
        <w:t xml:space="preserve"> end-to-end: methodology based on external risk matrices, implemented in </w:t>
      </w:r>
      <w:r>
        <w:rPr>
          <w:b/>
          <w:color w:val="262626"/>
        </w:rPr>
        <w:t>SAS</w:t>
      </w:r>
      <w:r>
        <w:rPr>
          <w:color w:val="262626"/>
        </w:rPr>
        <w:t>, Finance as sole owner. Established monthly variance analysis in post-production. Oversaw UAT and proof-of-concept phases.</w:t>
      </w:r>
    </w:p>
    <w:p w14:paraId="51E39FFB" w14:textId="77777777" w:rsidR="007E13C3" w:rsidRDefault="00000000" w:rsidP="006D7B53">
      <w:pPr>
        <w:pStyle w:val="Listepuces"/>
        <w:spacing w:before="30" w:after="30"/>
        <w:ind w:hanging="180"/>
        <w:jc w:val="both"/>
      </w:pPr>
      <w:r>
        <w:rPr>
          <w:color w:val="262626"/>
        </w:rPr>
        <w:t>Validated transition accounting schemes; redesigned close calendar under IFRS 9; developed automated control tools.</w:t>
      </w:r>
    </w:p>
    <w:p w14:paraId="247D4F4E" w14:textId="77777777" w:rsidR="007E13C3" w:rsidRDefault="00000000">
      <w:pPr>
        <w:spacing w:before="80" w:after="20"/>
        <w:ind w:left="180"/>
      </w:pPr>
      <w:r>
        <w:rPr>
          <w:b/>
          <w:color w:val="2E75B6"/>
        </w:rPr>
        <w:t>First assignment  (May 2017 – May 2018)</w:t>
      </w:r>
    </w:p>
    <w:p w14:paraId="7658251F" w14:textId="0F71ED33" w:rsidR="007E13C3" w:rsidRPr="006D7B53" w:rsidRDefault="00000000">
      <w:pPr>
        <w:pStyle w:val="Listepuces"/>
        <w:spacing w:before="30" w:after="30"/>
        <w:ind w:hanging="180"/>
      </w:pPr>
      <w:r>
        <w:rPr>
          <w:color w:val="262626"/>
        </w:rPr>
        <w:t xml:space="preserve">Head of Technical Accounting — investment accounting production, regulatory reporting, </w:t>
      </w:r>
      <w:r w:rsidR="006D7B53">
        <w:rPr>
          <w:color w:val="262626"/>
        </w:rPr>
        <w:t>TOM</w:t>
      </w:r>
      <w:r>
        <w:rPr>
          <w:color w:val="262626"/>
        </w:rPr>
        <w:t xml:space="preserve"> redesign.</w:t>
      </w:r>
    </w:p>
    <w:p w14:paraId="08656896" w14:textId="6DD0E8A6" w:rsidR="006D7B53" w:rsidRDefault="006D7B53">
      <w:pPr>
        <w:pStyle w:val="Listepuces"/>
        <w:spacing w:before="30" w:after="30"/>
        <w:ind w:hanging="180"/>
      </w:pPr>
      <w:r>
        <w:t xml:space="preserve">Designed a shared investment data platform in SAS, covering data sourcing, data model architecture, quality controls, data governance and management reporting; the platform </w:t>
      </w:r>
      <w:r w:rsidR="00C97B35">
        <w:t>served as the backbone for all subsequent investment analytics work, including the IFRS 9 ECL model deployed in 2020.</w:t>
      </w:r>
    </w:p>
    <w:p w14:paraId="2E950289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258F0761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AXA XL  —  P&amp;C Finance</w:t>
      </w:r>
      <w:r>
        <w:rPr>
          <w:color w:val="595959"/>
        </w:rPr>
        <w:t xml:space="preserve">  ·  May 2018 – Jul 2019  (15 months)</w:t>
      </w:r>
    </w:p>
    <w:p w14:paraId="7B1AE442" w14:textId="77777777" w:rsidR="007E13C3" w:rsidRDefault="00000000">
      <w:pPr>
        <w:spacing w:after="60"/>
      </w:pPr>
      <w:r>
        <w:rPr>
          <w:b/>
          <w:i/>
          <w:color w:val="2E75B6"/>
        </w:rPr>
        <w:t>Finance Stream Leader — IFRS 9 / IFRS 17 / Solvency II</w:t>
      </w:r>
    </w:p>
    <w:p w14:paraId="51B3B7E1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Led Finance impact assessment and implementation workstreams for a combined IFRS 9, IFRS 17 and Solvency II transformation within an AXA P&amp;C entity.</w:t>
      </w:r>
    </w:p>
    <w:p w14:paraId="76A20EF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IFRS 17: confirmed </w:t>
      </w:r>
      <w:r>
        <w:rPr>
          <w:b/>
          <w:color w:val="262626"/>
        </w:rPr>
        <w:t>PAA (Premium Allocation Approach)</w:t>
      </w:r>
      <w:r>
        <w:rPr>
          <w:color w:val="262626"/>
        </w:rPr>
        <w:t xml:space="preserve"> eligibility across all contract families (coverage ≤ 1 year). Delivered IFRS 17 dry-run close at 31 Dec 2017 using </w:t>
      </w:r>
      <w:r>
        <w:rPr>
          <w:b/>
          <w:color w:val="262626"/>
        </w:rPr>
        <w:t>SAS-based internal model</w:t>
      </w:r>
      <w:r>
        <w:rPr>
          <w:color w:val="262626"/>
        </w:rPr>
        <w:t xml:space="preserve"> (derived from AXA Group model): quantified ~€25m equity transition adjustment and ~1.5ppt combined ratio variance across </w:t>
      </w:r>
      <w:r>
        <w:rPr>
          <w:b/>
          <w:color w:val="262626"/>
        </w:rPr>
        <w:t>8 lines of business</w:t>
      </w:r>
      <w:r>
        <w:rPr>
          <w:color w:val="262626"/>
        </w:rPr>
        <w:t>.</w:t>
      </w:r>
    </w:p>
    <w:p w14:paraId="4225574D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Defined Target Operating Model: organisation, processes, accounting tools and reporting architecture under the new standards.</w:t>
      </w:r>
    </w:p>
    <w:p w14:paraId="2D92ED94" w14:textId="74B903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Supervised Solvency II QRT reporting (</w:t>
      </w:r>
      <w:r>
        <w:rPr>
          <w:b/>
          <w:color w:val="262626"/>
        </w:rPr>
        <w:t>Invoke</w:t>
      </w:r>
      <w:r>
        <w:rPr>
          <w:color w:val="262626"/>
        </w:rPr>
        <w:t>); contributed to ORSA, RSR and SFCR deliverables. Co-led steering committees; coordinated Finance, Actuarial, Risk, Reinsurance, IT and external audit.</w:t>
      </w:r>
    </w:p>
    <w:p w14:paraId="78B120FA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3E4B0B56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CNP Assurances</w:t>
      </w:r>
      <w:r>
        <w:rPr>
          <w:color w:val="595959"/>
        </w:rPr>
        <w:t xml:space="preserve">  ·  May 2013 – May 2018  (5 years)</w:t>
      </w:r>
    </w:p>
    <w:p w14:paraId="5FFEA71A" w14:textId="77777777" w:rsidR="007E13C3" w:rsidRDefault="00000000">
      <w:pPr>
        <w:spacing w:after="60"/>
      </w:pPr>
      <w:r>
        <w:rPr>
          <w:b/>
          <w:i/>
          <w:color w:val="2E75B6"/>
        </w:rPr>
        <w:t>Lead Business Owner — SimCorp Dimension  /  Head of Financial Production &amp; Solvency II</w:t>
      </w:r>
    </w:p>
    <w:p w14:paraId="475D6783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Acted as Lead Business Owner for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implementation at one of France's largest life insurers — covering </w:t>
      </w:r>
      <w:r>
        <w:rPr>
          <w:b/>
          <w:color w:val="262626"/>
        </w:rPr>
        <w:t>~€350bn in investment assets</w:t>
      </w:r>
      <w:r>
        <w:rPr>
          <w:color w:val="262626"/>
        </w:rPr>
        <w:t>, one of the largest SimCorp implementations in Europe.</w:t>
      </w:r>
    </w:p>
    <w:p w14:paraId="6558E8F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Drove the entire business workstream: functional design, accounting entries (unit-linked, fixed income, equities), controls, Solvency II reporting architecture, testing, data migration and go-live readiness.</w:t>
      </w:r>
    </w:p>
    <w:p w14:paraId="1EEE973D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Head of Financial Production &amp; Solvency II Unit (May–Dec 2013): managed 5-person team. Significantly enhanced the </w:t>
      </w:r>
      <w:r>
        <w:rPr>
          <w:b/>
          <w:color w:val="262626"/>
        </w:rPr>
        <w:t>P&amp;L Forecast model</w:t>
      </w:r>
      <w:r>
        <w:rPr>
          <w:color w:val="262626"/>
        </w:rPr>
        <w:t xml:space="preserve"> — introduced bond reinvestment assumptions (duration/rate), inflation modelling for index-linked bonds, equity return assumptions; extended forecast perimeter to private equity, real estate and land assets. Initiated migration roadmap from legacy </w:t>
      </w:r>
      <w:r>
        <w:rPr>
          <w:b/>
          <w:color w:val="262626"/>
        </w:rPr>
        <w:t>Access</w:t>
      </w:r>
      <w:r>
        <w:rPr>
          <w:color w:val="262626"/>
        </w:rPr>
        <w:t xml:space="preserve"> tools toward </w:t>
      </w:r>
      <w:r>
        <w:rPr>
          <w:b/>
          <w:color w:val="262626"/>
        </w:rPr>
        <w:t>SAS</w:t>
      </w:r>
      <w:r>
        <w:rPr>
          <w:color w:val="262626"/>
        </w:rPr>
        <w:t xml:space="preserve"> (calculation engine) and </w:t>
      </w:r>
      <w:r>
        <w:rPr>
          <w:b/>
          <w:color w:val="262626"/>
        </w:rPr>
        <w:t>QlikView</w:t>
      </w:r>
      <w:r>
        <w:rPr>
          <w:color w:val="262626"/>
        </w:rPr>
        <w:t xml:space="preserve"> (management dashboards).</w:t>
      </w:r>
    </w:p>
    <w:p w14:paraId="422CBF86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Supported Fast Close initiative; SME on accounting workstreams: cut-off, unit-linked portfolios, accounting/management reconciliation.</w:t>
      </w:r>
    </w:p>
    <w:p w14:paraId="49BC52A4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22993E9A" w14:textId="77777777" w:rsidR="00C97B35" w:rsidRDefault="00C97B35">
      <w:pPr>
        <w:rPr>
          <w:b/>
          <w:color w:val="1F3864"/>
          <w:sz w:val="21"/>
        </w:rPr>
      </w:pPr>
      <w:r>
        <w:rPr>
          <w:b/>
          <w:color w:val="1F3864"/>
          <w:sz w:val="21"/>
        </w:rPr>
        <w:br w:type="page"/>
      </w:r>
    </w:p>
    <w:p w14:paraId="58BB4B0C" w14:textId="027A22E4" w:rsidR="007E13C3" w:rsidRDefault="00000000">
      <w:pPr>
        <w:spacing w:before="160" w:after="30"/>
      </w:pPr>
      <w:proofErr w:type="spellStart"/>
      <w:r>
        <w:rPr>
          <w:b/>
          <w:color w:val="1F3864"/>
          <w:sz w:val="21"/>
        </w:rPr>
        <w:lastRenderedPageBreak/>
        <w:t>Primexis</w:t>
      </w:r>
      <w:proofErr w:type="spellEnd"/>
      <w:r>
        <w:rPr>
          <w:b/>
          <w:color w:val="1F3864"/>
          <w:sz w:val="21"/>
        </w:rPr>
        <w:t xml:space="preserve">  —  CFO Advisory  /  SCOR Investment Partners</w:t>
      </w:r>
      <w:r>
        <w:rPr>
          <w:color w:val="595959"/>
        </w:rPr>
        <w:t xml:space="preserve">  ·  Oct 2008 – Apr 2013  (4.5 years)</w:t>
      </w:r>
    </w:p>
    <w:p w14:paraId="243AF3A9" w14:textId="77777777" w:rsidR="007E13C3" w:rsidRDefault="00000000">
      <w:pPr>
        <w:spacing w:after="60"/>
      </w:pPr>
      <w:r>
        <w:rPr>
          <w:b/>
          <w:i/>
          <w:color w:val="2E75B6"/>
        </w:rPr>
        <w:t>Associate Director — Insurance Practice  /  SimCorp PM at SCOR Investment Partners</w:t>
      </w:r>
    </w:p>
    <w:p w14:paraId="21FE93AE" w14:textId="77777777" w:rsidR="001A51F6" w:rsidRPr="001A51F6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Concurrent SimCorp Dimension Project Manager at SCOR Investment Partners (Nov 2008 – May 2012, 3.5 years): </w:t>
      </w:r>
    </w:p>
    <w:p w14:paraId="04A26E3E" w14:textId="4EA4C3F6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 xml:space="preserve">led migration from </w:t>
      </w:r>
      <w:r>
        <w:rPr>
          <w:b/>
          <w:color w:val="262626"/>
        </w:rPr>
        <w:t>Linedata Chorus</w:t>
      </w:r>
      <w:r>
        <w:rPr>
          <w:color w:val="262626"/>
        </w:rPr>
        <w:t xml:space="preserve"> (MO/BO/accounting) to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across Head Office and foreign entities — </w:t>
      </w:r>
      <w:r>
        <w:rPr>
          <w:b/>
          <w:color w:val="262626"/>
        </w:rPr>
        <w:t>€20bn AUM</w:t>
      </w:r>
      <w:r>
        <w:rPr>
          <w:color w:val="262626"/>
        </w:rPr>
        <w:t>, 12-person team. Bloomberg maintained as FO system with full SimCorp integration.</w:t>
      </w:r>
    </w:p>
    <w:p w14:paraId="666BFDD0" w14:textId="77777777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look-through automation</w:t>
      </w:r>
      <w:r>
        <w:rPr>
          <w:color w:val="262626"/>
        </w:rPr>
        <w:t xml:space="preserve"> for dedicated UCITS funds: automated underlying asset consolidation, sensitivity calculations and Solvency II transparisation — eliminating manual restatement processes.</w:t>
      </w:r>
    </w:p>
    <w:p w14:paraId="57F504BB" w14:textId="77777777" w:rsidR="007E13C3" w:rsidRDefault="00000000" w:rsidP="001A51F6">
      <w:pPr>
        <w:pStyle w:val="Listepuces"/>
        <w:numPr>
          <w:ilvl w:val="0"/>
          <w:numId w:val="10"/>
        </w:numPr>
        <w:spacing w:before="30" w:after="30"/>
        <w:ind w:left="993"/>
        <w:jc w:val="both"/>
      </w:pPr>
      <w:r>
        <w:rPr>
          <w:color w:val="262626"/>
        </w:rPr>
        <w:t>Managed US portfolio migration including structured products; defined AMF-compliant investment reporting and branch restructuring for foreign subsidiaries.</w:t>
      </w:r>
    </w:p>
    <w:p w14:paraId="6DC3508C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As Associate Director at Primexis: built a </w:t>
      </w:r>
      <w:r>
        <w:rPr>
          <w:b/>
          <w:color w:val="262626"/>
        </w:rPr>
        <w:t>20-consultant Insurance practice</w:t>
      </w:r>
      <w:r>
        <w:rPr>
          <w:color w:val="262626"/>
        </w:rPr>
        <w:t xml:space="preserve"> generating </w:t>
      </w:r>
      <w:r>
        <w:rPr>
          <w:b/>
          <w:color w:val="262626"/>
        </w:rPr>
        <w:t>€3m annual revenue</w:t>
      </w:r>
      <w:r>
        <w:rPr>
          <w:color w:val="262626"/>
        </w:rPr>
        <w:t xml:space="preserve"> across 10 clients. Served on Executive Committee.</w:t>
      </w:r>
    </w:p>
    <w:p w14:paraId="78F60A29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11F0B81D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SCOR  —  Investment Department</w:t>
      </w:r>
      <w:r>
        <w:rPr>
          <w:color w:val="595959"/>
        </w:rPr>
        <w:t xml:space="preserve">  ·  Oct 2005 – Sep 2008  (3 years)</w:t>
      </w:r>
    </w:p>
    <w:p w14:paraId="5AD3F5B1" w14:textId="77777777" w:rsidR="007E13C3" w:rsidRDefault="00000000">
      <w:pPr>
        <w:spacing w:after="60"/>
      </w:pPr>
      <w:r>
        <w:rPr>
          <w:b/>
          <w:i/>
          <w:color w:val="2E75B6"/>
        </w:rPr>
        <w:t>Head of Transformation Projects  /  Head of Group Consolidation</w:t>
      </w:r>
    </w:p>
    <w:p w14:paraId="10857A3E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Advised Investment COO; led transformation of SCOR's investment department into a standalone AM structure — replacing a fragmented </w:t>
      </w:r>
      <w:r>
        <w:rPr>
          <w:b/>
          <w:color w:val="262626"/>
        </w:rPr>
        <w:t>Bloomberg (FO) + Linedata Chorus (MO/BO/accounting)</w:t>
      </w:r>
      <w:r>
        <w:rPr>
          <w:color w:val="262626"/>
        </w:rPr>
        <w:t xml:space="preserve"> environment with a fully integrated front-to-accounting platform.</w:t>
      </w:r>
    </w:p>
    <w:p w14:paraId="6BAF686C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Led RFI/RFP for investment platform and performance attribution tool; managed </w:t>
      </w:r>
      <w:r>
        <w:rPr>
          <w:b/>
          <w:color w:val="262626"/>
        </w:rPr>
        <w:t>SimCorp Dimension</w:t>
      </w:r>
      <w:r>
        <w:rPr>
          <w:color w:val="262626"/>
        </w:rPr>
        <w:t xml:space="preserve"> selection and implementation governance. Project budget: </w:t>
      </w:r>
      <w:r>
        <w:rPr>
          <w:b/>
          <w:color w:val="262626"/>
        </w:rPr>
        <w:t>€3m/year</w:t>
      </w:r>
      <w:r>
        <w:rPr>
          <w:color w:val="262626"/>
        </w:rPr>
        <w:t>.</w:t>
      </w:r>
    </w:p>
    <w:p w14:paraId="4345F783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Head of Group Consolidation &amp; Accounting Standards (Oct 2005 – Jul 2006): quarterly IFRS and annual US GAAP consolidated reporting; Group accounting policy definition; team of 5.</w:t>
      </w:r>
    </w:p>
    <w:p w14:paraId="6E35353A" w14:textId="77777777" w:rsidR="007E13C3" w:rsidRDefault="007E13C3">
      <w:pPr>
        <w:pBdr>
          <w:bottom w:val="single" w:sz="4" w:space="1" w:color="D6E4F0"/>
        </w:pBdr>
        <w:spacing w:after="0" w:line="240" w:lineRule="auto"/>
      </w:pPr>
    </w:p>
    <w:p w14:paraId="0A47EDB5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Coface  —  Group Finance</w:t>
      </w:r>
      <w:r>
        <w:rPr>
          <w:color w:val="595959"/>
        </w:rPr>
        <w:t xml:space="preserve">  ·  May 2004 – Oct 2005  (18 months)</w:t>
      </w:r>
    </w:p>
    <w:p w14:paraId="0476E0FF" w14:textId="77777777" w:rsidR="007E13C3" w:rsidRDefault="00000000">
      <w:pPr>
        <w:spacing w:after="60"/>
      </w:pPr>
      <w:r>
        <w:rPr>
          <w:b/>
          <w:i/>
          <w:color w:val="2E75B6"/>
        </w:rPr>
        <w:t>Head of Technical Accounting and Reserving</w:t>
      </w:r>
    </w:p>
    <w:p w14:paraId="5FA23881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 xml:space="preserve">Designed and implemented </w:t>
      </w:r>
      <w:r>
        <w:rPr>
          <w:b/>
          <w:color w:val="262626"/>
        </w:rPr>
        <w:t>Bornhuetter-Ferguson stochastic reserving methodology</w:t>
      </w:r>
      <w:r>
        <w:rPr>
          <w:color w:val="262626"/>
        </w:rPr>
        <w:t xml:space="preserve"> — replacing manual estimation with a structured quantitative model. Coordinated accounting, actuarial and operational stakeholders; accelerated close process.</w:t>
      </w:r>
    </w:p>
    <w:p w14:paraId="6D5E8A99" w14:textId="77777777" w:rsidR="007E13C3" w:rsidRDefault="00000000" w:rsidP="001A51F6">
      <w:pPr>
        <w:pStyle w:val="Listepuces"/>
        <w:spacing w:before="30" w:after="30"/>
        <w:ind w:hanging="180"/>
        <w:jc w:val="both"/>
      </w:pPr>
      <w:r>
        <w:rPr>
          <w:color w:val="262626"/>
        </w:rPr>
        <w:t>Investment accounting, technical insurance accounting; intercompany reconciliations; Group Finance coordination.</w:t>
      </w:r>
    </w:p>
    <w:p w14:paraId="5EF7F256" w14:textId="77777777" w:rsidR="007E13C3" w:rsidRDefault="007E13C3" w:rsidP="001A51F6">
      <w:pPr>
        <w:pBdr>
          <w:bottom w:val="single" w:sz="4" w:space="1" w:color="D6E4F0"/>
        </w:pBdr>
        <w:spacing w:after="0" w:line="240" w:lineRule="auto"/>
        <w:jc w:val="both"/>
      </w:pPr>
    </w:p>
    <w:p w14:paraId="6918B684" w14:textId="77777777" w:rsidR="007E13C3" w:rsidRDefault="00000000">
      <w:pPr>
        <w:spacing w:before="160" w:after="30"/>
      </w:pPr>
      <w:r>
        <w:rPr>
          <w:b/>
          <w:color w:val="1F3864"/>
          <w:sz w:val="21"/>
        </w:rPr>
        <w:t>Mazars</w:t>
      </w:r>
      <w:r>
        <w:rPr>
          <w:color w:val="595959"/>
        </w:rPr>
        <w:t xml:space="preserve">  ·  Sep 1999 – May 2004  (5 years)</w:t>
      </w:r>
    </w:p>
    <w:p w14:paraId="741EC7A8" w14:textId="77777777" w:rsidR="007E13C3" w:rsidRDefault="00000000">
      <w:pPr>
        <w:spacing w:after="60"/>
      </w:pPr>
      <w:r>
        <w:rPr>
          <w:b/>
          <w:i/>
          <w:color w:val="2E75B6"/>
        </w:rPr>
        <w:t>Audit Manager — Insurance &amp; Reinsurance Practice</w:t>
      </w:r>
    </w:p>
    <w:p w14:paraId="5BDE72D6" w14:textId="77777777" w:rsidR="007E13C3" w:rsidRDefault="00000000">
      <w:pPr>
        <w:pStyle w:val="Listepuces"/>
        <w:spacing w:before="30" w:after="30"/>
        <w:ind w:hanging="180"/>
      </w:pPr>
      <w:r>
        <w:rPr>
          <w:color w:val="262626"/>
        </w:rPr>
        <w:t>Statutory audit, internal control reviews, due diligence and transaction support for insurers and reinsurers.</w:t>
      </w:r>
    </w:p>
    <w:p w14:paraId="7FE870DA" w14:textId="77777777" w:rsidR="007E13C3" w:rsidRDefault="00000000">
      <w:pPr>
        <w:pStyle w:val="Listepuces"/>
        <w:spacing w:before="30" w:after="30"/>
        <w:ind w:hanging="180"/>
      </w:pPr>
      <w:r>
        <w:rPr>
          <w:color w:val="262626"/>
        </w:rPr>
        <w:t>Investment function reviews; financial control and forecasting work.</w:t>
      </w:r>
    </w:p>
    <w:p w14:paraId="133E57BB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EDUCATION &amp; QUALIFICATIONS</w:t>
      </w:r>
    </w:p>
    <w:p w14:paraId="59B85010" w14:textId="276CB44D" w:rsidR="007E13C3" w:rsidRDefault="00000000">
      <w:pPr>
        <w:spacing w:before="50" w:after="50"/>
        <w:ind w:left="180"/>
      </w:pPr>
      <w:r>
        <w:rPr>
          <w:b/>
          <w:color w:val="1F3864"/>
        </w:rPr>
        <w:t>ESCP Business School</w:t>
      </w:r>
      <w:r>
        <w:rPr>
          <w:color w:val="262626"/>
        </w:rPr>
        <w:t xml:space="preserve">  —  Grande École — </w:t>
      </w:r>
      <w:proofErr w:type="gramStart"/>
      <w:r>
        <w:rPr>
          <w:color w:val="262626"/>
        </w:rPr>
        <w:t>Master in Management</w:t>
      </w:r>
      <w:proofErr w:type="gramEnd"/>
      <w:r>
        <w:rPr>
          <w:color w:val="262626"/>
        </w:rPr>
        <w:t xml:space="preserve"> </w:t>
      </w:r>
      <w:r w:rsidR="006D7B53">
        <w:rPr>
          <w:color w:val="595959"/>
          <w:sz w:val="18"/>
        </w:rPr>
        <w:t xml:space="preserve">| </w:t>
      </w:r>
      <w:r w:rsidR="006D7B53" w:rsidRPr="006D7B53">
        <w:rPr>
          <w:color w:val="262626"/>
        </w:rPr>
        <w:t>Major: Finance</w:t>
      </w:r>
      <w:r>
        <w:rPr>
          <w:color w:val="595959"/>
          <w:sz w:val="18"/>
        </w:rPr>
        <w:t xml:space="preserve">  |  1991–1995</w:t>
      </w:r>
    </w:p>
    <w:p w14:paraId="0EE45952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Centre d'Études Actuarielles, Paris</w:t>
      </w:r>
      <w:r>
        <w:rPr>
          <w:color w:val="262626"/>
        </w:rPr>
        <w:t xml:space="preserve">  —  Master in Actuarial Science</w:t>
      </w:r>
      <w:r>
        <w:rPr>
          <w:color w:val="595959"/>
          <w:sz w:val="18"/>
        </w:rPr>
        <w:t xml:space="preserve">  |  2002–2004</w:t>
      </w:r>
    </w:p>
    <w:p w14:paraId="69435AA8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ENOES — École de l'Expertise Comptable</w:t>
      </w:r>
      <w:r>
        <w:rPr>
          <w:color w:val="262626"/>
        </w:rPr>
        <w:t xml:space="preserve">  —  D.E.C.F. (French CPA-equivalent)</w:t>
      </w:r>
      <w:r>
        <w:rPr>
          <w:color w:val="595959"/>
          <w:sz w:val="18"/>
        </w:rPr>
        <w:t xml:space="preserve">  |  2001</w:t>
      </w:r>
    </w:p>
    <w:p w14:paraId="57F9BDE4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Université Paris Dauphine – PSL</w:t>
      </w:r>
      <w:r>
        <w:rPr>
          <w:color w:val="262626"/>
        </w:rPr>
        <w:t xml:space="preserve">  —  Master in Economics</w:t>
      </w:r>
      <w:r>
        <w:rPr>
          <w:color w:val="595959"/>
          <w:sz w:val="18"/>
        </w:rPr>
        <w:t xml:space="preserve">  |  1995–1996</w:t>
      </w:r>
    </w:p>
    <w:p w14:paraId="22F6AC05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Project Management Institute</w:t>
      </w:r>
      <w:r>
        <w:rPr>
          <w:color w:val="262626"/>
        </w:rPr>
        <w:t xml:space="preserve">  —  PMP® — Project Management Professional (active)</w:t>
      </w:r>
    </w:p>
    <w:p w14:paraId="6C320DA3" w14:textId="77777777" w:rsidR="007E13C3" w:rsidRDefault="00000000">
      <w:pPr>
        <w:spacing w:before="50" w:after="50"/>
        <w:ind w:left="180"/>
      </w:pPr>
      <w:r>
        <w:rPr>
          <w:b/>
          <w:color w:val="1F3864"/>
        </w:rPr>
        <w:t>Certifications</w:t>
      </w:r>
      <w:r>
        <w:rPr>
          <w:color w:val="262626"/>
        </w:rPr>
        <w:t xml:space="preserve">  —  Generative AI Primer  |  GenAI for Account Executives</w:t>
      </w:r>
    </w:p>
    <w:p w14:paraId="57420D8A" w14:textId="77777777" w:rsidR="007E13C3" w:rsidRDefault="00000000">
      <w:pPr>
        <w:shd w:val="clear" w:color="auto" w:fill="2E75B6"/>
        <w:spacing w:before="200" w:after="80"/>
      </w:pPr>
      <w:r>
        <w:rPr>
          <w:b/>
          <w:color w:val="FFFFFF"/>
          <w:sz w:val="22"/>
        </w:rPr>
        <w:t xml:space="preserve">  LANGUAGES &amp; AVAILABILITY</w:t>
      </w:r>
    </w:p>
    <w:p w14:paraId="1C0E538E" w14:textId="77777777" w:rsidR="007E13C3" w:rsidRDefault="00000000">
      <w:pPr>
        <w:spacing w:before="80" w:after="80"/>
        <w:ind w:left="180"/>
      </w:pPr>
      <w:r>
        <w:rPr>
          <w:color w:val="262626"/>
        </w:rPr>
        <w:t>French: Native  |  English: Full professional proficiency (C1/C2)  |  Spanish &amp; Italian: elementary  |  German: limited working</w:t>
      </w:r>
    </w:p>
    <w:p w14:paraId="6CA8420E" w14:textId="77777777" w:rsidR="007E13C3" w:rsidRDefault="00000000">
      <w:pPr>
        <w:spacing w:after="80"/>
        <w:ind w:left="180"/>
      </w:pPr>
      <w:r>
        <w:rPr>
          <w:color w:val="262626"/>
        </w:rPr>
        <w:t>Available: May 2026  |  Format: Remote preferred, hybrid considered  |  Geography: France, UK, Continental Europe, North America, APAC</w:t>
      </w:r>
    </w:p>
    <w:sectPr w:rsidR="007E13C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B6CC67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902797"/>
    <w:multiLevelType w:val="hybridMultilevel"/>
    <w:tmpl w:val="903CC83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FA35B4"/>
    <w:multiLevelType w:val="hybridMultilevel"/>
    <w:tmpl w:val="EED4BCB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F07175"/>
    <w:multiLevelType w:val="hybridMultilevel"/>
    <w:tmpl w:val="CC6E3A56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32469122">
    <w:abstractNumId w:val="8"/>
  </w:num>
  <w:num w:numId="2" w16cid:durableId="679890716">
    <w:abstractNumId w:val="6"/>
  </w:num>
  <w:num w:numId="3" w16cid:durableId="1691641273">
    <w:abstractNumId w:val="5"/>
  </w:num>
  <w:num w:numId="4" w16cid:durableId="1218083617">
    <w:abstractNumId w:val="4"/>
  </w:num>
  <w:num w:numId="5" w16cid:durableId="76097820">
    <w:abstractNumId w:val="7"/>
  </w:num>
  <w:num w:numId="6" w16cid:durableId="200896160">
    <w:abstractNumId w:val="3"/>
  </w:num>
  <w:num w:numId="7" w16cid:durableId="88548990">
    <w:abstractNumId w:val="2"/>
  </w:num>
  <w:num w:numId="8" w16cid:durableId="2105103452">
    <w:abstractNumId w:val="1"/>
  </w:num>
  <w:num w:numId="9" w16cid:durableId="1141727107">
    <w:abstractNumId w:val="0"/>
  </w:num>
  <w:num w:numId="10" w16cid:durableId="1603954212">
    <w:abstractNumId w:val="10"/>
  </w:num>
  <w:num w:numId="11" w16cid:durableId="1311246224">
    <w:abstractNumId w:val="11"/>
  </w:num>
  <w:num w:numId="12" w16cid:durableId="21362118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1F6"/>
    <w:rsid w:val="0029639D"/>
    <w:rsid w:val="00326F90"/>
    <w:rsid w:val="00590A91"/>
    <w:rsid w:val="006D7B53"/>
    <w:rsid w:val="007E13C3"/>
    <w:rsid w:val="00AA1D8D"/>
    <w:rsid w:val="00B47730"/>
    <w:rsid w:val="00C70F2A"/>
    <w:rsid w:val="00C97B35"/>
    <w:rsid w:val="00CB0664"/>
    <w:rsid w:val="00CF00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DA3236"/>
  <w14:defaultImageDpi w14:val="300"/>
  <w15:docId w15:val="{41C14C36-5BC1-D948-B300-F6256751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1686</Words>
  <Characters>9279</Characters>
  <Application>Microsoft Office Word</Application>
  <DocSecurity>0</DocSecurity>
  <Lines>77</Lines>
  <Paragraphs>21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Robitaille</cp:lastModifiedBy>
  <cp:revision>4</cp:revision>
  <dcterms:created xsi:type="dcterms:W3CDTF">2026-05-11T13:41:00Z</dcterms:created>
  <dcterms:modified xsi:type="dcterms:W3CDTF">2026-05-11T13:50:00Z</dcterms:modified>
  <cp:category/>
</cp:coreProperties>
</file>