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7445" w14:textId="1A311416" w:rsidR="004B17F9" w:rsidRDefault="00000000">
      <w:pPr>
        <w:shd w:val="clear" w:color="auto" w:fill="1F3864"/>
        <w:spacing w:after="0" w:line="240" w:lineRule="auto"/>
        <w:jc w:val="center"/>
      </w:pPr>
      <w:r>
        <w:rPr>
          <w:b/>
          <w:color w:val="FFFFFF"/>
          <w:sz w:val="32"/>
        </w:rPr>
        <w:t>XAVIER ROBITAILLE</w:t>
      </w:r>
    </w:p>
    <w:p w14:paraId="1EA547DF" w14:textId="424EED89" w:rsidR="004B17F9" w:rsidRDefault="00000000">
      <w:pPr>
        <w:shd w:val="clear" w:color="auto" w:fill="1F3864"/>
        <w:spacing w:after="0" w:line="240" w:lineRule="auto"/>
        <w:jc w:val="center"/>
      </w:pPr>
      <w:r>
        <w:rPr>
          <w:color w:val="D6E4F0"/>
        </w:rPr>
        <w:t xml:space="preserve">Comptabilité des placements &amp; Transformation Asset Management  |  SimCorp  |  Clearwater Analytics  |  </w:t>
        <w:br/>
        <w:t>OMS / Implémentation Front-to-Back</w:t>
      </w:r>
      <w:r w:rsidR="00791555">
        <w:rPr>
          <w:color w:val="D6E4F0"/>
        </w:rPr>
      </w:r>
      <w:r>
        <w:rPr>
          <w:color w:val="D6E4F0"/>
        </w:rPr>
      </w:r>
    </w:p>
    <w:p w14:paraId="45C2F075" w14:textId="0C15FB1B" w:rsidR="004B17F9" w:rsidRDefault="00000000">
      <w:pPr>
        <w:shd w:val="clear" w:color="auto" w:fill="2E75B6"/>
        <w:spacing w:before="60" w:after="60" w:line="240" w:lineRule="auto"/>
        <w:jc w:val="center"/>
      </w:pPr>
      <w:r>
        <w:rPr>
          <w:color w:val="FFFFFF"/>
          <w:sz w:val="18"/>
        </w:rPr>
        <w:t>+33 6 64 89 09 43  |  xrobitaille92150@gmail.com  |  linkedin.com/in/xrobitaille  |  Remote / international - disponible mai 2026</w:t>
      </w:r>
      <w:r w:rsidR="00791555">
        <w:rPr>
          <w:color w:val="FFFFFF"/>
          <w:sz w:val="18"/>
        </w:rPr>
      </w:r>
      <w:r>
        <w:rPr>
          <w:color w:val="FFFFFF"/>
          <w:sz w:val="18"/>
        </w:rPr>
      </w:r>
    </w:p>
    <w:p w14:paraId="12706649" w14:textId="77777777" w:rsidR="00791555" w:rsidRPr="00791555" w:rsidRDefault="00000000" w:rsidP="00791555">
      <w:pPr>
        <w:spacing w:after="0" w:line="240" w:lineRule="auto"/>
        <w:rPr>
          <w:sz w:val="2"/>
          <w:szCs w:val="2"/>
        </w:rPr>
      </w:pPr>
      <w:r w:rsidRPr="00791555">
        <w:rPr>
          <w:sz w:val="2"/>
          <w:szCs w:val="2"/>
        </w:rPr>
        <w:t xml:space="preserve">  </w:t>
      </w:r>
    </w:p>
    <w:p w14:paraId="628F860E" w14:textId="68FB797C" w:rsidR="004B17F9" w:rsidRDefault="00000000" w:rsidP="00791555">
      <w:pPr>
        <w:shd w:val="clear" w:color="auto" w:fill="2E75B6"/>
        <w:spacing w:after="80"/>
      </w:pPr>
      <w:r>
        <w:rPr>
          <w:b/>
          <w:color w:val="FFFFFF"/>
          <w:sz w:val="22"/>
        </w:rPr>
        <w:t>RÉSUMÉ EXÉCUTIF</w:t>
      </w:r>
    </w:p>
    <w:p w14:paraId="1EBACD71" w14:textId="77777777" w:rsidR="00791555" w:rsidRPr="00791555" w:rsidRDefault="00000000" w:rsidP="00E97BD2">
      <w:pPr>
        <w:pStyle w:val="Paragraphedeliste"/>
        <w:numPr>
          <w:ilvl w:val="0"/>
          <w:numId w:val="10"/>
        </w:numPr>
        <w:spacing w:before="80" w:after="80"/>
        <w:ind w:left="142" w:right="120" w:hanging="142"/>
        <w:jc w:val="both"/>
      </w:pPr>
      <w:r w:rsidRPr="00791555">
        <w:rPr>
          <w:color w:val="262626"/>
        </w:rPr>
        <w:t xml:space="preserve">Consultant senior et directeur de programme spécialisé en transformation </w:t>
      </w:r>
      <w:proofErr w:type="spellStart"/>
      <w:r w:rsidRPr="00791555">
        <w:rPr>
          <w:color w:val="262626"/>
        </w:rPr>
      </w:r>
      <w:proofErr w:type="spellEnd"/>
      <w:r w:rsidRPr="00791555">
        <w:rPr>
          <w:color w:val="262626"/>
        </w:rPr>
      </w:r>
      <w:proofErr w:type="spellStart"/>
      <w:r w:rsidRPr="00791555">
        <w:rPr>
          <w:color w:val="262626"/>
        </w:rPr>
      </w:r>
      <w:proofErr w:type="spellEnd"/>
      <w:r w:rsidRPr="00791555">
        <w:rPr>
          <w:color w:val="262626"/>
        </w:rPr>
      </w:r>
      <w:r w:rsidRPr="00791555">
        <w:rPr>
          <w:b/>
          <w:bCs/>
          <w:color w:val="262626"/>
        </w:rPr>
        <w:t>comptabilité des placements</w:t>
      </w:r>
      <w:r w:rsidRPr="00791555">
        <w:rPr>
          <w:color w:val="262626"/>
        </w:rPr>
        <w:t xml:space="preserve">, implémentation de </w:t>
      </w:r>
      <w:r w:rsidRPr="00791555">
        <w:rPr>
          <w:b/>
          <w:bCs/>
          <w:color w:val="262626"/>
        </w:rPr>
        <w:t>plateforme d'asset management</w:t>
      </w:r>
      <w:r w:rsidRPr="00791555">
        <w:rPr>
          <w:color w:val="262626"/>
        </w:rPr>
        <w:t xml:space="preserve"> et conception de </w:t>
      </w:r>
      <w:r w:rsidRPr="00791555">
        <w:rPr>
          <w:b/>
          <w:bCs/>
          <w:color w:val="262626"/>
        </w:rPr>
        <w:t>modèle opératoire front-to-back</w:t>
      </w:r>
      <w:r w:rsidRPr="00791555">
        <w:rPr>
          <w:color w:val="262626"/>
        </w:rPr>
        <w:t>. 25 ans et plus d'expérience en assurance, réassurance et asset management, combinant expertise métier, profondeur technique comptable et pilotage opérationnel de la livraison.</w:t>
      </w:r>
    </w:p>
    <w:p w14:paraId="1E5423F2" w14:textId="77777777" w:rsidR="00791555" w:rsidRPr="00791555" w:rsidRDefault="00000000" w:rsidP="00E97BD2">
      <w:pPr>
        <w:pStyle w:val="Paragraphedeliste"/>
        <w:numPr>
          <w:ilvl w:val="0"/>
          <w:numId w:val="10"/>
        </w:numPr>
        <w:spacing w:before="80" w:after="80"/>
        <w:ind w:left="142" w:right="120" w:hanging="142"/>
        <w:jc w:val="both"/>
      </w:pPr>
      <w:r w:rsidRPr="00791555">
        <w:rPr>
          <w:color w:val="262626"/>
        </w:rPr>
        <w:t xml:space="preserve">Expertise plateformes : </w:t>
      </w:r>
      <w:r w:rsidRPr="00791555">
        <w:rPr>
          <w:b/>
          <w:bCs/>
          <w:color w:val="262626"/>
        </w:rPr>
        <w:t>SimCorp Dimension</w:t>
      </w:r>
      <w:r w:rsidRPr="00791555">
        <w:rPr>
          <w:color w:val="262626"/>
        </w:rPr>
        <w:t xml:space="preserve"> (Lead Business Owner chez CNP Assurances — 350 Md€ AUM — et PM Implémentation chez SCOR Investment Partners — 20 Md€ AUM — 8 ans et plus cumulés) ; </w:t>
      </w:r>
      <w:r w:rsidRPr="00791555">
        <w:rPr>
          <w:b/>
          <w:bCs/>
          <w:color w:val="262626"/>
        </w:rPr>
        <w:t>Clearwater Analytics</w:t>
      </w:r>
      <w:r w:rsidRPr="00791555">
        <w:rPr>
          <w:color w:val="262626"/>
        </w:rPr>
        <w:t xml:space="preserve"> (actuellement Senior Programme Manager — CW CORE, OMS/Jump, LPx — 11 Md€ AUM) ; </w:t>
      </w:r>
      <w:r w:rsidRPr="00791555">
        <w:rPr>
          <w:b/>
          <w:bCs/>
          <w:color w:val="262626"/>
        </w:rPr>
        <w:t>Bloomberg</w:t>
      </w:r>
      <w:r w:rsidRPr="00791555">
        <w:rPr>
          <w:color w:val="262626"/>
        </w:rPr>
        <w:t xml:space="preserve"> (TSOX, Data License) ; SAP S/4HANA ; SAS.</w:t>
      </w:r>
    </w:p>
    <w:p w14:paraId="3CCA2BA7" w14:textId="584E1383" w:rsidR="00791555" w:rsidRPr="00791555" w:rsidRDefault="00000000" w:rsidP="00E97BD2">
      <w:pPr>
        <w:pStyle w:val="Paragraphedeliste"/>
        <w:numPr>
          <w:ilvl w:val="0"/>
          <w:numId w:val="10"/>
        </w:numPr>
        <w:spacing w:before="80" w:after="80"/>
        <w:ind w:left="142" w:right="120" w:hanging="142"/>
        <w:jc w:val="both"/>
      </w:pPr>
      <w:r w:rsidRPr="00791555">
        <w:rPr>
          <w:color w:val="262626"/>
        </w:rPr>
        <w:t xml:space="preserve">Missions types : </w:t>
      </w:r>
      <w:r w:rsidRPr="00E97BD2">
        <w:rPr>
          <w:b/>
          <w:bCs/>
          <w:color w:val="262626"/>
        </w:rPr>
        <w:t>implémentation OMS</w:t>
      </w:r>
      <w:r w:rsidRPr="00791555">
        <w:rPr>
          <w:color w:val="262626"/>
        </w:rPr>
        <w:t xml:space="preserve"> et transition TOM, transformation </w:t>
      </w:r>
      <w:r w:rsidR="00E97BD2">
        <w:rPr>
          <w:color w:val="262626"/>
        </w:rPr>
      </w:r>
      <w:r w:rsidRPr="00791555">
        <w:rPr>
          <w:color w:val="262626"/>
        </w:rPr>
      </w:r>
      <w:r w:rsidRPr="00E97BD2">
        <w:rPr>
          <w:b/>
          <w:bCs/>
          <w:color w:val="262626"/>
        </w:rPr>
        <w:t>comptabilité des placements</w:t>
      </w:r>
      <w:r w:rsidRPr="00791555">
        <w:rPr>
          <w:color w:val="262626"/>
        </w:rPr>
        <w:t xml:space="preserve"> (IFRS 9/ French GAAP / S2), migration de données titres et conception du référentiel titres, conception de plateforme de données d'investissement, coordination dépositaire (CACEIS), architecture STP, refonte des processus de clôture, dispositifs de contrôle pilotés par IA.</w:t>
      </w:r>
      <w:r w:rsidR="00E97BD2">
        <w:rPr>
          <w:color w:val="262626"/>
        </w:rPr>
      </w:r>
      <w:r w:rsidRPr="00791555">
        <w:rPr>
          <w:color w:val="262626"/>
        </w:rPr>
      </w:r>
      <w:r w:rsidR="00E97BD2" w:rsidRPr="00791555">
        <w:rPr>
          <w:color w:val="262626"/>
        </w:rPr>
      </w:r>
      <w:r w:rsidR="00E97BD2">
        <w:rPr>
          <w:color w:val="262626"/>
        </w:rPr>
      </w:r>
      <w:r w:rsidR="00E97BD2" w:rsidRPr="00791555">
        <w:rPr>
          <w:color w:val="262626"/>
        </w:rPr>
      </w:r>
      <w:r w:rsidRPr="00791555">
        <w:rPr>
          <w:color w:val="262626"/>
        </w:rPr>
      </w:r>
      <w:r w:rsidR="00E97BD2">
        <w:rPr>
          <w:color w:val="262626"/>
        </w:rPr>
      </w:r>
    </w:p>
    <w:p w14:paraId="3716A0DA" w14:textId="4B05E90B" w:rsidR="004B17F9" w:rsidRDefault="00000000" w:rsidP="00E97BD2">
      <w:pPr>
        <w:pStyle w:val="Paragraphedeliste"/>
        <w:numPr>
          <w:ilvl w:val="0"/>
          <w:numId w:val="10"/>
        </w:numPr>
        <w:spacing w:before="80" w:after="80"/>
        <w:ind w:left="142" w:right="120" w:hanging="142"/>
        <w:jc w:val="both"/>
      </w:pPr>
      <w:r w:rsidRPr="00E97BD2">
        <w:rPr>
          <w:b/>
          <w:bCs/>
          <w:color w:val="262626"/>
        </w:rPr>
        <w:t>Bilingue EN/FR</w:t>
      </w:r>
      <w:r w:rsidRPr="00791555">
        <w:rPr>
          <w:color w:val="262626"/>
        </w:rPr>
        <w:t>. Ouvert à des missions à distance en EMEA, Amérique du Nord et APAC.</w:t>
      </w:r>
    </w:p>
    <w:p w14:paraId="7A2595E5" w14:textId="77777777" w:rsidR="004B17F9" w:rsidRDefault="00000000">
      <w:pPr>
        <w:shd w:val="clear" w:color="auto" w:fill="2E75B6"/>
        <w:spacing w:before="200" w:after="80"/>
      </w:pPr>
      <w:r>
        <w:rPr>
          <w:b/>
          <w:color w:val="FFFFFF"/>
          <w:sz w:val="22"/>
        </w:rPr>
        <w:t xml:space="preserve">  EXPERTISE PLATEFORMES D'INVESTISSEMENT</w:t>
      </w:r>
    </w:p>
    <w:p w14:paraId="0EF47612" w14:textId="77777777" w:rsidR="004B17F9" w:rsidRDefault="00000000" w:rsidP="00E97BD2">
      <w:pPr>
        <w:pStyle w:val="Paragraphedeliste"/>
        <w:numPr>
          <w:ilvl w:val="0"/>
          <w:numId w:val="11"/>
        </w:numPr>
        <w:spacing w:before="40" w:after="40"/>
        <w:ind w:left="142" w:hanging="142"/>
        <w:jc w:val="both"/>
      </w:pPr>
      <w:r w:rsidRPr="00791555">
        <w:rPr>
          <w:b/>
          <w:color w:val="1F3864"/>
        </w:rPr>
        <w:t>SimCorp Dimension</w:t>
      </w:r>
      <w:r w:rsidRPr="00791555">
        <w:rPr>
          <w:color w:val="262626"/>
        </w:rPr>
        <w:t xml:space="preserve">  —  Lead Business Owner (CNP Assurances, 350 Md€ AUM, 4,5 ans) + PM Implémentation (SCOR Investment Partners, 20 Md€ AUM, 3,5 ans) — conception fonctionnelle, écritures comptables, contrôles, reporting Solvabilité II, migration de données, UAT, go-live</w:t>
      </w:r>
    </w:p>
    <w:p w14:paraId="53623807" w14:textId="77777777" w:rsidR="004B17F9" w:rsidRDefault="00000000" w:rsidP="00E97BD2">
      <w:pPr>
        <w:pStyle w:val="Paragraphedeliste"/>
        <w:numPr>
          <w:ilvl w:val="0"/>
          <w:numId w:val="11"/>
        </w:numPr>
        <w:spacing w:before="40" w:after="40"/>
        <w:ind w:left="142" w:hanging="142"/>
        <w:jc w:val="both"/>
      </w:pPr>
      <w:r w:rsidRPr="00791555">
        <w:rPr>
          <w:b/>
          <w:color w:val="1F3864"/>
        </w:rPr>
        <w:t>Clearwater Analytics</w:t>
      </w:r>
      <w:r w:rsidRPr="00791555">
        <w:rPr>
          <w:color w:val="262626"/>
        </w:rPr>
        <w:t xml:space="preserve">  —  Senior Programme Manager — CW CORE (portfolio analytics), OMS/Jump (gestion des ordres), LPx (private equity) — 11 Md€ AUM, multi-dépositaire, intégrations Bloomberg, architecture STP, contrôles pilotés par IA, reporting Solvabilité II</w:t>
      </w:r>
    </w:p>
    <w:p w14:paraId="7A0C33D0" w14:textId="77777777" w:rsidR="004B17F9" w:rsidRDefault="00000000" w:rsidP="00E97BD2">
      <w:pPr>
        <w:pStyle w:val="Paragraphedeliste"/>
        <w:numPr>
          <w:ilvl w:val="0"/>
          <w:numId w:val="11"/>
        </w:numPr>
        <w:spacing w:before="40" w:after="40"/>
        <w:ind w:left="142" w:hanging="142"/>
        <w:jc w:val="both"/>
      </w:pPr>
      <w:r w:rsidRPr="00791555">
        <w:rPr>
          <w:b/>
          <w:color w:val="1F3864"/>
        </w:rPr>
        <w:t>Bloomberg</w:t>
      </w:r>
      <w:r w:rsidRPr="00791555">
        <w:rPr>
          <w:color w:val="262626"/>
        </w:rPr>
        <w:t xml:space="preserve">  —  TSOX (gestion des ordres), Bloomberg Data License — conception et tests d'intégration (contextes SimCorp + Clearwater)</w:t>
      </w:r>
    </w:p>
    <w:p w14:paraId="412CB982" w14:textId="77777777" w:rsidR="004B17F9" w:rsidRDefault="00000000" w:rsidP="00E97BD2">
      <w:pPr>
        <w:pStyle w:val="Paragraphedeliste"/>
        <w:numPr>
          <w:ilvl w:val="0"/>
          <w:numId w:val="11"/>
        </w:numPr>
        <w:spacing w:before="40" w:after="40"/>
        <w:ind w:left="142" w:hanging="142"/>
        <w:jc w:val="both"/>
      </w:pPr>
      <w:r w:rsidRPr="00791555">
        <w:rPr>
          <w:b/>
          <w:color w:val="1F3864"/>
        </w:rPr>
        <w:t>SAP S/4HANA</w:t>
      </w:r>
      <w:r w:rsidRPr="00791555">
        <w:rPr>
          <w:color w:val="262626"/>
        </w:rPr>
        <w:t xml:space="preserve">  —  Interfaces automatisées de comptabilité des placements et conception de la chaîne de reporting SAP→SAP BFC (Coface Group Finance)</w:t>
      </w:r>
    </w:p>
    <w:p w14:paraId="6BD58F4F" w14:textId="77777777" w:rsidR="004B17F9" w:rsidRDefault="00000000" w:rsidP="00E97BD2">
      <w:pPr>
        <w:pStyle w:val="Paragraphedeliste"/>
        <w:numPr>
          <w:ilvl w:val="0"/>
          <w:numId w:val="11"/>
        </w:numPr>
        <w:spacing w:before="40" w:after="40"/>
        <w:ind w:left="142" w:hanging="142"/>
        <w:jc w:val="both"/>
      </w:pPr>
      <w:r w:rsidRPr="00791555">
        <w:rPr>
          <w:b/>
          <w:color w:val="1F3864"/>
        </w:rPr>
        <w:t>SAS</w:t>
      </w:r>
      <w:r w:rsidRPr="00791555">
        <w:rPr>
          <w:color w:val="262626"/>
        </w:rPr>
        <w:t xml:space="preserve">  —  Conception de plateforme de données d'investissement mutualisée — sourcing des données, modèle de données, contrôles qualité, reporting de gestion ; implémentation du modèle ECL (IFRS 9) et ownership post-production (Coface)</w:t>
      </w:r>
    </w:p>
    <w:p w14:paraId="7AE7B6CB" w14:textId="77777777" w:rsidR="004B17F9" w:rsidRDefault="00000000" w:rsidP="00E97BD2">
      <w:pPr>
        <w:pStyle w:val="Paragraphedeliste"/>
        <w:numPr>
          <w:ilvl w:val="0"/>
          <w:numId w:val="11"/>
        </w:numPr>
        <w:spacing w:before="40" w:after="40"/>
        <w:ind w:left="142" w:hanging="142"/>
        <w:jc w:val="both"/>
      </w:pPr>
      <w:r w:rsidRPr="00791555">
        <w:rPr>
          <w:b/>
          <w:color w:val="1F3864"/>
        </w:rPr>
        <w:t>Autre</w:t>
      </w:r>
      <w:r w:rsidRPr="00791555">
        <w:rPr>
          <w:color w:val="262626"/>
        </w:rPr>
        <w:t xml:space="preserve">  —  CODA (intégration GL), CACEIS (coordination dépositaire, conception d'interfaces opérationnelles), Neoxam GP3/GP4 (plateforme dépositaire), Linedata Chorus (contexte de migration legacy — remplacé à deux reprises)</w:t>
      </w:r>
    </w:p>
    <w:p w14:paraId="265C7592" w14:textId="77777777" w:rsidR="004B17F9" w:rsidRDefault="00000000">
      <w:pPr>
        <w:shd w:val="clear" w:color="auto" w:fill="2E75B6"/>
        <w:spacing w:before="200" w:after="80"/>
      </w:pPr>
      <w:r>
        <w:rPr>
          <w:b/>
          <w:color w:val="FFFFFF"/>
          <w:sz w:val="22"/>
        </w:rPr>
        <w:t xml:space="preserve">  MOTS-CLÉS PRINCIPAUX</w:t>
      </w:r>
    </w:p>
    <w:p w14:paraId="44172433" w14:textId="2D0CC68C" w:rsidR="004B17F9" w:rsidRPr="00791555" w:rsidRDefault="00000000" w:rsidP="00791555">
      <w:pPr>
        <w:spacing w:before="60" w:after="60"/>
        <w:ind w:left="120" w:right="120"/>
        <w:rPr>
          <w:color w:val="262626"/>
          <w:sz w:val="18"/>
        </w:rPr>
      </w:pPr>
      <w:r>
        <w:rPr>
          <w:color w:val="262626"/>
          <w:sz w:val="18"/>
        </w:rPr>
        <w:t>Comptabilité des placements  |  Transformation Asset Management  |  Implémentation OMS  |  Plateforme Front-to-Back  |  ABOR / IBOR  |  STP (Straight-Through Processing)  |  SimCorp Dimension  |  Clearwater Analytics  |  IFRS 9  |  Solvabilité II  |  Référentiel titres  |  Migration de données  |  Coordination dépositaire  |  Bloomberg  |  Portfolio Analytics  |  Attribution de performance  |  Comptabilité Private Equity  |  Unit-Linked  |  Fixed Income  |  Reporting Look-through  |  Optimisation de clôture  |  Target Operating Model  |  Record to Report (R2R)  |  Automatisation des processus  |  Optimisation des processus  |  Contrôles pilotés par IA  |  Conception de plateforme de données  |  Gouvernance des données  |  Pilotage UAT  |  PMO  |  SAP S/4HANA  |  SAS  |  Power BI</w:t>
      </w:r>
    </w:p>
    <w:p w14:paraId="46D4A147" w14:textId="77777777" w:rsidR="004B17F9" w:rsidRDefault="00000000">
      <w:pPr>
        <w:shd w:val="clear" w:color="auto" w:fill="2E75B6"/>
        <w:spacing w:before="200" w:after="80"/>
      </w:pPr>
      <w:r>
        <w:rPr>
          <w:b/>
          <w:color w:val="FFFFFF"/>
          <w:sz w:val="22"/>
        </w:rPr>
        <w:t xml:space="preserve">  EXPÉRIENCE PROFESSIONNELLE</w:t>
      </w:r>
    </w:p>
    <w:p w14:paraId="663BF815" w14:textId="77777777" w:rsidR="004B17F9" w:rsidRDefault="00000000">
      <w:pPr>
        <w:spacing w:before="160" w:after="30"/>
      </w:pPr>
      <w:r>
        <w:rPr>
          <w:b/>
          <w:color w:val="1F3864"/>
          <w:sz w:val="21"/>
        </w:rPr>
        <w:t>Clearwater Analytics</w:t>
      </w:r>
      <w:r>
        <w:rPr>
          <w:color w:val="595959"/>
        </w:rPr>
        <w:t xml:space="preserve">  ·  Nov 2024 – Apr 2026  (18 mois)</w:t>
      </w:r>
    </w:p>
    <w:p w14:paraId="25A92EEC" w14:textId="77777777" w:rsidR="004B17F9" w:rsidRDefault="00000000">
      <w:pPr>
        <w:spacing w:after="60"/>
      </w:pPr>
      <w:r>
        <w:rPr>
          <w:b/>
          <w:i/>
          <w:color w:val="2E75B6"/>
        </w:rPr>
        <w:t>Senior Programme Manager — Plateforme d'investissement Cloud-Native &amp; Automatisation Finance</w:t>
      </w:r>
    </w:p>
    <w:p w14:paraId="6679DFC9" w14:textId="77777777" w:rsidR="004B17F9" w:rsidRDefault="00000000">
      <w:pPr>
        <w:pStyle w:val="Listepuces"/>
        <w:spacing w:before="30" w:after="30"/>
        <w:ind w:hanging="180"/>
      </w:pPr>
      <w:r>
        <w:rPr>
          <w:color w:val="262626"/>
        </w:rPr>
        <w:t xml:space="preserve">Pilotage de bout en bout de la mise en œuvre d'une plateforme </w:t>
      </w:r>
      <w:r>
        <w:rPr>
          <w:b/>
          <w:color w:val="262626"/>
        </w:rPr>
        <w:t>Clearwater Analytics SaaS</w:t>
      </w:r>
      <w:r>
        <w:rPr>
          <w:color w:val="262626"/>
        </w:rPr>
        <w:t xml:space="preserve"> pour un réassureur français (</w:t>
      </w:r>
      <w:r>
        <w:rPr>
          <w:b/>
          <w:color w:val="262626"/>
        </w:rPr>
        <w:t>€11bn AUM</w:t>
      </w:r>
      <w:r>
        <w:rPr>
          <w:color w:val="262626"/>
        </w:rPr>
        <w:t xml:space="preserve"> : fixed income, TCN, fonds cotés, fonds fermés), en remplacement d'un système </w:t>
      </w:r>
      <w:r>
        <w:rPr>
          <w:b/>
          <w:color w:val="262626"/>
        </w:rPr>
        <w:t>Linedata Chorus</w:t>
      </w:r>
      <w:r>
        <w:rPr>
          <w:color w:val="262626"/>
        </w:rPr>
        <w:t xml:space="preserve"> historique — le second remplacement complet de Chorus dans cette carrière (premier : Chorus → SimCorp Dimension chez SCOR IP, 2008–2012).</w:t>
      </w:r>
    </w:p>
    <w:p w14:paraId="6C8B09DE" w14:textId="77777777" w:rsidR="004B17F9" w:rsidRDefault="00000000">
      <w:pPr>
        <w:pStyle w:val="Listepuces"/>
        <w:spacing w:before="30" w:after="30"/>
        <w:ind w:hanging="180"/>
      </w:pPr>
      <w:r>
        <w:rPr>
          <w:color w:val="262626"/>
        </w:rPr>
        <w:t xml:space="preserve">Mise en œuvre d'un </w:t>
      </w:r>
      <w:r>
        <w:rPr>
          <w:b/>
          <w:color w:val="262626"/>
        </w:rPr>
        <w:t>straight-through processing (STP)</w:t>
      </w:r>
      <w:r>
        <w:rPr>
          <w:color w:val="262626"/>
        </w:rPr>
        <w:t xml:space="preserve"> complet sur toute la chaîne de valeur investissement : gestion des ordres → production comptable → reporting réglementaire Solvabilité II — éliminant les ressaisies manuelles entre Front Office, Middle Office, Back Office et IT.</w:t>
      </w:r>
    </w:p>
    <w:p w14:paraId="2D068069" w14:textId="77777777" w:rsidR="004B17F9" w:rsidRDefault="00000000">
      <w:pPr>
        <w:pStyle w:val="Listepuces"/>
        <w:spacing w:before="30" w:after="30"/>
        <w:ind w:hanging="180"/>
      </w:pPr>
      <w:r>
        <w:rPr>
          <w:color w:val="262626"/>
        </w:rPr>
        <w:t xml:space="preserve">Automatisation de la réconciliation dépositaire et bancaire : fréquence portée de </w:t>
      </w:r>
      <w:r>
        <w:rPr>
          <w:b/>
          <w:color w:val="262626"/>
        </w:rPr>
        <w:t>hebdomadaire à quotidienne</w:t>
      </w:r>
      <w:r>
        <w:rPr>
          <w:color w:val="262626"/>
        </w:rPr>
        <w:t xml:space="preserve"> ; déploiement d'une </w:t>
      </w:r>
      <w:r>
        <w:rPr>
          <w:b/>
          <w:color w:val="262626"/>
        </w:rPr>
        <w:t>réconciliation tripartite assistée par IA</w:t>
      </w:r>
      <w:r>
        <w:rPr>
          <w:color w:val="262626"/>
        </w:rPr>
        <w:t xml:space="preserve"> (Front Office / Back Office / dépositaire) avec pré-diagnostic automatisé des écarts.</w:t>
      </w:r>
    </w:p>
    <w:p w14:paraId="6D79123C" w14:textId="77777777" w:rsidR="004B17F9" w:rsidRDefault="00000000">
      <w:pPr>
        <w:pStyle w:val="Listepuces"/>
        <w:spacing w:before="30" w:after="30"/>
        <w:ind w:hanging="180"/>
      </w:pPr>
      <w:r>
        <w:rPr>
          <w:color w:val="262626"/>
        </w:rPr>
        <w:t xml:space="preserve">Mise en place d'un </w:t>
      </w:r>
      <w:r>
        <w:rPr>
          <w:b/>
          <w:color w:val="262626"/>
        </w:rPr>
        <w:t>dispositif de contrôle assisté par IA</w:t>
      </w:r>
      <w:r>
        <w:rPr>
          <w:color w:val="262626"/>
        </w:rPr>
        <w:t xml:space="preserve"> : suivi des variations de prix, contrôles de réception des données, et traitement automatisé assisté par IA des instructions sur fonds fermés (appels de capital, valorisations NAV mensuelles).</w:t>
      </w:r>
    </w:p>
    <w:p w14:paraId="58BD7CAF" w14:textId="77777777" w:rsidR="004B17F9" w:rsidRDefault="00000000">
      <w:pPr>
        <w:pStyle w:val="Listepuces"/>
        <w:spacing w:before="30" w:after="30"/>
        <w:ind w:hanging="180"/>
      </w:pPr>
      <w:r>
        <w:rPr>
          <w:color w:val="262626"/>
        </w:rPr>
        <w:t xml:space="preserve">Réduction du cycle de clôture de </w:t>
      </w:r>
      <w:r>
        <w:rPr>
          <w:b/>
          <w:color w:val="262626"/>
        </w:rPr>
        <w:t>J+4 à J+2</w:t>
      </w:r>
      <w:r>
        <w:rPr>
          <w:color w:val="262626"/>
        </w:rPr>
        <w:t xml:space="preserve"> grâce à l'automatisation de bout en bout des processus et à l'architecture STP.</w:t>
      </w:r>
    </w:p>
    <w:p w14:paraId="78652D32" w14:textId="77777777" w:rsidR="004B17F9" w:rsidRDefault="00000000">
      <w:pPr>
        <w:pStyle w:val="Listepuces"/>
        <w:spacing w:before="30" w:after="30"/>
        <w:ind w:hanging="180"/>
      </w:pPr>
      <w:r>
        <w:rPr>
          <w:color w:val="262626"/>
        </w:rPr>
        <w:t>Implémentation multi-module : CW CORE (analytique de portefeuille), OMS/Jump (gestion des ordres), LPx (private equity) ; intégrations avec Bloomberg TSOX, Bloomberg Data License, CODA (GL), systèmes de reporting Solvabilité II.</w:t>
      </w:r>
    </w:p>
    <w:p w14:paraId="5C83DF62" w14:textId="1B01C976" w:rsidR="004B17F9" w:rsidRDefault="00000000">
      <w:pPr>
        <w:pStyle w:val="Listepuces"/>
        <w:spacing w:before="30" w:after="30"/>
        <w:ind w:hanging="180"/>
      </w:pPr>
      <w:proofErr w:type="spellStart"/>
      <w:r>
        <w:rPr>
          <w:color w:val="262626"/>
        </w:rPr>
        <w:t>Gouvernance de programme : comités de pilotage bilingues EN/FR avec sponsors CxO (mensuels), RAID log (10+ risques critiques) ; pilotage du go-live du module OMS (déc. 2025) et du go-live du module CORE (avril 2026).</w:t>
      </w:r>
      <w:proofErr w:type="spellEnd"/>
      <w:r>
        <w:rPr>
          <w:color w:val="262626"/>
        </w:rPr>
      </w:r>
      <w:r w:rsidR="00791555">
        <w:rPr>
          <w:color w:val="262626"/>
        </w:rPr>
      </w:r>
      <w:r>
        <w:rPr>
          <w:color w:val="262626"/>
        </w:rPr>
      </w:r>
      <w:r w:rsidR="00791555">
        <w:rPr>
          <w:color w:val="262626"/>
        </w:rPr>
      </w:r>
      <w:r>
        <w:rPr>
          <w:color w:val="262626"/>
        </w:rPr>
      </w:r>
      <w:r w:rsidR="00791555">
        <w:rPr>
          <w:color w:val="262626"/>
        </w:rPr>
      </w:r>
      <w:r>
        <w:rPr>
          <w:color w:val="262626"/>
        </w:rPr>
      </w:r>
    </w:p>
    <w:p w14:paraId="4A1D94FB" w14:textId="77777777" w:rsidR="004B17F9" w:rsidRDefault="004B17F9">
      <w:pPr>
        <w:pBdr>
          <w:bottom w:val="single" w:sz="4" w:space="1" w:color="D6E4F0"/>
        </w:pBdr>
        <w:spacing w:after="0" w:line="240" w:lineRule="auto"/>
      </w:pPr>
    </w:p>
    <w:p w14:paraId="6BE94DFA" w14:textId="77777777" w:rsidR="004B17F9" w:rsidRDefault="00000000">
      <w:pPr>
        <w:spacing w:before="160" w:after="30"/>
      </w:pPr>
      <w:r>
        <w:rPr>
          <w:b/>
          <w:color w:val="1F3864"/>
          <w:sz w:val="21"/>
        </w:rPr>
        <w:t>CNP Assurances</w:t>
      </w:r>
      <w:r>
        <w:rPr>
          <w:color w:val="595959"/>
        </w:rPr>
        <w:t xml:space="preserve">  ·  Mai 2013 – Mai 2018  (5 ans)</w:t>
      </w:r>
    </w:p>
    <w:p w14:paraId="70616621" w14:textId="77777777" w:rsidR="004B17F9" w:rsidRDefault="00000000">
      <w:pPr>
        <w:spacing w:after="60"/>
      </w:pPr>
      <w:r>
        <w:rPr>
          <w:b/>
          <w:i/>
          <w:color w:val="2E75B6"/>
        </w:rPr>
        <w:t>Lead Business Owner — SimCorp Dimension  /  Responsable Production Financière &amp; Solvabilité II</w:t>
      </w:r>
    </w:p>
    <w:p w14:paraId="6397F8FF" w14:textId="77777777" w:rsidR="004B17F9" w:rsidRDefault="00000000">
      <w:pPr>
        <w:pStyle w:val="Listepuces"/>
        <w:spacing w:before="30" w:after="30"/>
        <w:ind w:hanging="180"/>
      </w:pPr>
      <w:r>
        <w:rPr>
          <w:color w:val="262626"/>
        </w:rPr>
        <w:t xml:space="preserve">Lead Business Owner pour la mise en œuvre de </w:t>
      </w:r>
      <w:r>
        <w:rPr>
          <w:b/>
          <w:color w:val="262626"/>
        </w:rPr>
        <w:t>SimCorp Dimension</w:t>
      </w:r>
      <w:r>
        <w:rPr>
          <w:color w:val="262626"/>
        </w:rPr>
        <w:t xml:space="preserve"> chez l'un des plus grands assureurs vie français — couvrant </w:t>
      </w:r>
      <w:r>
        <w:rPr>
          <w:b/>
          <w:color w:val="262626"/>
        </w:rPr>
        <w:t>~€350bn en actifs sous gestion</w:t>
      </w:r>
      <w:r>
        <w:rPr>
          <w:color w:val="262626"/>
        </w:rPr>
        <w:t>, l'une des plus importantes implémentations SimCorp en Europe — couvrant l'intégralité de la chaîne ABOR et du reporting Solvabilité II.</w:t>
      </w:r>
    </w:p>
    <w:p w14:paraId="583835F6" w14:textId="77777777" w:rsidR="004B17F9" w:rsidRDefault="00000000">
      <w:pPr>
        <w:pStyle w:val="Listepuces"/>
        <w:spacing w:before="30" w:after="30"/>
        <w:ind w:hanging="180"/>
      </w:pPr>
      <w:r>
        <w:rPr>
          <w:color w:val="262626"/>
        </w:rPr>
        <w:t>Pilotage de l'ensemble du volet métier : conception fonctionnelle, écritures comptables (unités de compte, fixed income, actions), contrôles, architecture du reporting Solvabilité II, tests, migration des données et préparation du go-live.</w:t>
      </w:r>
    </w:p>
    <w:p w14:paraId="7F7B0AB6" w14:textId="77777777" w:rsidR="004B17F9" w:rsidRDefault="00000000">
      <w:pPr>
        <w:pStyle w:val="Listepuces"/>
        <w:spacing w:before="30" w:after="30"/>
        <w:ind w:hanging="180"/>
      </w:pPr>
      <w:r>
        <w:rPr>
          <w:color w:val="262626"/>
        </w:rPr>
        <w:t xml:space="preserve">Responsable de l'Unité Production Financière &amp; Solvabilité II (mai–déc. 2013) : management d'une équipe de 5 personnes. Amélioration significative du </w:t>
      </w:r>
      <w:r>
        <w:rPr>
          <w:b/>
          <w:color w:val="262626"/>
        </w:rPr>
        <w:t>modèle de prévision P&amp;L</w:t>
      </w:r>
      <w:r>
        <w:rPr>
          <w:color w:val="262626"/>
        </w:rPr>
        <w:t xml:space="preserve"> — introduction d'hypothèses de réinvestissement obligataire (duration/taux), modélisation de l'inflation pour les obligations indexées, hypothèses de rendement actions ; extension du périmètre de prévision au private equity, à l'immobilier et aux actifs fonciers. Lancement de la feuille de route de migration depuis l'ancien </w:t>
      </w:r>
      <w:r>
        <w:rPr>
          <w:b/>
          <w:color w:val="262626"/>
        </w:rPr>
        <w:t>Access</w:t>
      </w:r>
      <w:r>
        <w:rPr>
          <w:color w:val="262626"/>
        </w:rPr>
        <w:t xml:space="preserve">outils vers </w:t>
      </w:r>
      <w:r>
        <w:rPr>
          <w:b/>
          <w:color w:val="262626"/>
        </w:rPr>
        <w:t>SAS</w:t>
      </w:r>
      <w:r>
        <w:rPr>
          <w:color w:val="262626"/>
        </w:rPr>
        <w:t xml:space="preserve"> (moteur de calcul) et </w:t>
      </w:r>
      <w:r>
        <w:rPr>
          <w:b/>
          <w:color w:val="262626"/>
        </w:rPr>
        <w:t>QlikView</w:t>
      </w:r>
      <w:r>
        <w:rPr>
          <w:color w:val="262626"/>
        </w:rPr>
        <w:t xml:space="preserve"> (tableaux de bord de pilotage).</w:t>
      </w:r>
    </w:p>
    <w:p w14:paraId="2E56DAFC" w14:textId="77777777" w:rsidR="004B17F9" w:rsidRDefault="00000000">
      <w:pPr>
        <w:pStyle w:val="Listepuces"/>
        <w:spacing w:before="30" w:after="30"/>
        <w:ind w:hanging="180"/>
      </w:pPr>
      <w:r>
        <w:rPr>
          <w:color w:val="262626"/>
        </w:rPr>
        <w:t>Support à l'initiative Fast Close ; référent sur les chantiers comptables : cut-off, portefeuilles en unités de compte, réconciliation comptable/gestion.</w:t>
      </w:r>
    </w:p>
    <w:p w14:paraId="551BBA8E" w14:textId="77777777" w:rsidR="004B17F9" w:rsidRDefault="004B17F9">
      <w:pPr>
        <w:pBdr>
          <w:bottom w:val="single" w:sz="4" w:space="1" w:color="D6E4F0"/>
        </w:pBdr>
        <w:spacing w:after="0" w:line="240" w:lineRule="auto"/>
      </w:pPr>
    </w:p>
    <w:p w14:paraId="23D0BE97" w14:textId="77777777" w:rsidR="004B17F9" w:rsidRDefault="00000000">
      <w:pPr>
        <w:spacing w:before="160" w:after="30"/>
      </w:pPr>
      <w:r>
        <w:rPr>
          <w:b/>
          <w:color w:val="1F3864"/>
          <w:sz w:val="21"/>
        </w:rPr>
        <w:t>Coface Group  —  Group Finance</w:t>
      </w:r>
      <w:r>
        <w:rPr>
          <w:color w:val="595959"/>
        </w:rPr>
        <w:t xml:space="preserve">  ·  Mai 2017 – Mai 2018  +  Jan 2020 – Oct 2024  (5 ans)</w:t>
      </w:r>
    </w:p>
    <w:p w14:paraId="1A2C7B01" w14:textId="77777777" w:rsidR="004B17F9" w:rsidRDefault="00000000">
      <w:pPr>
        <w:spacing w:after="60"/>
      </w:pPr>
      <w:r>
        <w:rPr>
          <w:b/>
          <w:i/>
          <w:color w:val="2E75B6"/>
        </w:rPr>
        <w:t>Responsable Groupe de la Comptabilité des Placements  /  Chef de Projet IFRS 9</w:t>
      </w:r>
    </w:p>
    <w:p w14:paraId="3777882A" w14:textId="77777777" w:rsidR="004B17F9" w:rsidRDefault="00000000">
      <w:pPr>
        <w:spacing w:before="80" w:after="20"/>
        <w:ind w:left="180"/>
      </w:pPr>
      <w:r>
        <w:rPr>
          <w:b/>
          <w:color w:val="2E75B6"/>
        </w:rPr>
        <w:t>Responsable Groupe de la Comptabilité des Placements  (Jan 2023 – Oct 2024)</w:t>
      </w:r>
    </w:p>
    <w:p w14:paraId="7FAF92F0" w14:textId="77777777" w:rsidR="004B17F9" w:rsidRDefault="00000000">
      <w:pPr>
        <w:pStyle w:val="Listepuces"/>
        <w:spacing w:before="30" w:after="30"/>
        <w:ind w:hanging="180"/>
      </w:pPr>
      <w:r>
        <w:rPr>
          <w:color w:val="262626"/>
        </w:rPr>
        <w:t xml:space="preserve">Pilotage de la fonction comptabilité des placements pour un </w:t>
      </w:r>
      <w:r>
        <w:rPr>
          <w:b/>
          <w:color w:val="262626"/>
        </w:rPr>
        <w:t>portefeuille de placements groupe d'environ 3 Md€</w:t>
      </w:r>
      <w:r>
        <w:rPr>
          <w:color w:val="262626"/>
        </w:rPr>
        <w:t xml:space="preserve"> externalisé chez CACEIS (plateforme Neoxam GP3/GP4), couvrant </w:t>
      </w:r>
      <w:r>
        <w:rPr>
          <w:b/>
          <w:color w:val="262626"/>
        </w:rPr>
        <w:t>environ 20 entités internationales</w:t>
      </w:r>
      <w:r>
        <w:rPr>
          <w:color w:val="262626"/>
        </w:rPr>
        <w:t>.</w:t>
      </w:r>
    </w:p>
    <w:p w14:paraId="0DA4FFAB" w14:textId="77777777" w:rsidR="004B17F9" w:rsidRDefault="00000000">
      <w:pPr>
        <w:pStyle w:val="Listepuces"/>
        <w:spacing w:before="30" w:after="30"/>
        <w:ind w:hanging="180"/>
      </w:pPr>
      <w:r>
        <w:rPr>
          <w:color w:val="262626"/>
        </w:rPr>
        <w:t xml:space="preserve">Industrialisation du </w:t>
      </w:r>
      <w:r>
        <w:rPr>
          <w:b/>
          <w:color w:val="262626"/>
        </w:rPr>
        <w:t>processus Record-to-Report</w:t>
      </w:r>
      <w:r>
        <w:rPr>
          <w:color w:val="262626"/>
        </w:rPr>
        <w:t xml:space="preserve"> via un programme d'automatisation multi-outils : </w:t>
      </w:r>
      <w:r>
        <w:rPr>
          <w:b/>
          <w:color w:val="262626"/>
        </w:rPr>
        <w:t>workflows Power Query</w:t>
      </w:r>
      <w:r>
        <w:rPr>
          <w:color w:val="262626"/>
        </w:rPr>
        <w:t xml:space="preserve"> pour les données mensuelles CACEIS (réconciliation comptable/gestion, réconciliation SAP/CACEIS, analyse des écarts de change, contrôles de variation de prix) ; </w:t>
      </w:r>
      <w:r>
        <w:rPr>
          <w:b/>
          <w:color w:val="262626"/>
        </w:rPr>
        <w:t>macros VBA</w:t>
      </w:r>
      <w:r>
        <w:rPr>
          <w:color w:val="262626"/>
        </w:rPr>
        <w:t xml:space="preserve"> pour la conversion de format GP3→SAP YFI (2 fonds dédiés) ; </w:t>
      </w:r>
      <w:r>
        <w:rPr>
          <w:b/>
          <w:color w:val="262626"/>
        </w:rPr>
        <w:t>automatisation SAP FC Publisher</w:t>
      </w:r>
      <w:r>
        <w:rPr>
          <w:color w:val="262626"/>
        </w:rPr>
        <w:t xml:space="preserve"> des requêtes de consolidation BFC pour l'ensemble des entités.</w:t>
      </w:r>
    </w:p>
    <w:p w14:paraId="0DF10DFA" w14:textId="77777777" w:rsidR="004B17F9" w:rsidRDefault="00000000">
      <w:pPr>
        <w:pStyle w:val="Listepuces"/>
        <w:spacing w:before="30" w:after="30"/>
        <w:ind w:hanging="180"/>
      </w:pPr>
      <w:r>
        <w:rPr>
          <w:color w:val="262626"/>
        </w:rPr>
        <w:t xml:space="preserve">Automatisation des interfaces de placements SAP S/4HANA et de la chaîne de reporting SAP→SAP BFC, réduisant le délai de clôture de </w:t>
      </w:r>
      <w:r>
        <w:rPr>
          <w:b/>
          <w:color w:val="262626"/>
        </w:rPr>
        <w:t>J+5 à J+3</w:t>
      </w:r>
      <w:r>
        <w:rPr>
          <w:color w:val="262626"/>
        </w:rPr>
        <w:t xml:space="preserve"> et diminuant significativement la charge manuelle sur l'ensemble des entités du groupe.</w:t>
      </w:r>
    </w:p>
    <w:p w14:paraId="73B1F4E7" w14:textId="77777777" w:rsidR="004B17F9" w:rsidRDefault="00000000">
      <w:pPr>
        <w:pStyle w:val="Listepuces"/>
        <w:spacing w:before="30" w:after="30"/>
        <w:ind w:hanging="180"/>
      </w:pPr>
      <w:r>
        <w:rPr>
          <w:color w:val="262626"/>
        </w:rPr>
        <w:t xml:space="preserve">Livraison d'un tableau de bord consolidé </w:t>
      </w:r>
      <w:r>
        <w:rPr>
          <w:b/>
          <w:color w:val="262626"/>
        </w:rPr>
        <w:t>Power BI</w:t>
      </w:r>
      <w:r>
        <w:rPr>
          <w:color w:val="262626"/>
        </w:rPr>
        <w:t xml:space="preserve"> des placements pour le reporting CXO, en remplacement des processus de reporting manuels.</w:t>
      </w:r>
    </w:p>
    <w:p w14:paraId="0D0D2DE5" w14:textId="77777777" w:rsidR="004B17F9" w:rsidRDefault="00000000">
      <w:pPr>
        <w:spacing w:before="80" w:after="20"/>
        <w:ind w:left="180"/>
      </w:pPr>
      <w:r>
        <w:rPr>
          <w:b/>
          <w:color w:val="2E75B6"/>
        </w:rPr>
        <w:t>Chef de Projet IFRS 9  (Jan 2020 – Déc 2022)</w:t>
      </w:r>
    </w:p>
    <w:p w14:paraId="4DA653ED" w14:textId="77777777" w:rsidR="004B17F9" w:rsidRDefault="00000000">
      <w:pPr>
        <w:pStyle w:val="Listepuces"/>
        <w:spacing w:before="30" w:after="30"/>
        <w:ind w:hanging="180"/>
      </w:pPr>
      <w:r>
        <w:rPr>
          <w:color w:val="262626"/>
        </w:rPr>
        <w:t>Pilotage des chantiers Finance de la mise en œuvre d'IFRS 9 chez Coface — comptabilité des placements, modèle de provisionnement ECL, migration des données et refonte du processus de clôture.</w:t>
      </w:r>
    </w:p>
    <w:p w14:paraId="00EE8B9C" w14:textId="77777777" w:rsidR="004B17F9" w:rsidRDefault="00000000">
      <w:pPr>
        <w:pStyle w:val="Listepuces"/>
        <w:spacing w:before="30" w:after="30"/>
        <w:ind w:hanging="180"/>
      </w:pPr>
      <w:r>
        <w:rPr>
          <w:color w:val="262626"/>
        </w:rPr>
        <w:t xml:space="preserve">Conception du </w:t>
      </w:r>
      <w:r>
        <w:rPr>
          <w:b/>
          <w:color w:val="262626"/>
        </w:rPr>
        <w:t>modèle ECL (Expected Credit Loss)</w:t>
      </w:r>
      <w:r>
        <w:rPr>
          <w:color w:val="262626"/>
        </w:rPr>
        <w:t xml:space="preserve"> de bout en bout : méthodologie fondée sur des matrices de risque externes, implémentée sous </w:t>
      </w:r>
      <w:r>
        <w:rPr>
          <w:b/>
          <w:color w:val="262626"/>
        </w:rPr>
        <w:t>SAS</w:t>
      </w:r>
      <w:r>
        <w:rPr>
          <w:color w:val="262626"/>
        </w:rPr>
        <w:t>, Finance seule propriétaire. Mise en place d'une analyse mensuelle des écarts en post-production. Pilotage des phases d'UAT et de preuve de concept.</w:t>
      </w:r>
    </w:p>
    <w:p w14:paraId="5A6E9159" w14:textId="77777777" w:rsidR="004B17F9" w:rsidRDefault="00000000">
      <w:pPr>
        <w:pStyle w:val="Listepuces"/>
        <w:spacing w:before="30" w:after="30"/>
        <w:ind w:hanging="180"/>
      </w:pPr>
      <w:r>
        <w:rPr>
          <w:color w:val="262626"/>
        </w:rPr>
        <w:t>Validation des schémas comptables de transition ; refonte du calendrier de clôture sous IFRS 9 ; développement d'outils de contrôle automatisés.</w:t>
      </w:r>
    </w:p>
    <w:p w14:paraId="5ECAED94" w14:textId="77777777" w:rsidR="004B17F9" w:rsidRDefault="00000000">
      <w:pPr>
        <w:spacing w:before="80" w:after="20"/>
        <w:ind w:left="180"/>
      </w:pPr>
      <w:r>
        <w:rPr>
          <w:b/>
          <w:color w:val="2E75B6"/>
        </w:rPr>
        <w:t>Première mission  (Mai 2017 – Mai 2018)</w:t>
      </w:r>
    </w:p>
    <w:p w14:paraId="2A0941CD" w14:textId="77777777" w:rsidR="004B17F9" w:rsidRDefault="00000000">
      <w:pPr>
        <w:pStyle w:val="Listepuces"/>
        <w:spacing w:before="30" w:after="30"/>
        <w:ind w:hanging="180"/>
      </w:pPr>
      <w:r>
        <w:rPr>
          <w:color w:val="262626"/>
        </w:rPr>
        <w:t>Responsable Comptabilité Technique — production de la comptabilité des placements, reporting réglementaire, refonte du modèle opératoire.</w:t>
      </w:r>
    </w:p>
    <w:p w14:paraId="402E12B0" w14:textId="77777777" w:rsidR="004B17F9" w:rsidRDefault="00000000">
      <w:pPr>
        <w:pStyle w:val="Listepuces"/>
        <w:spacing w:before="30" w:after="30"/>
        <w:ind w:hanging="180"/>
      </w:pPr>
      <w:r>
        <w:rPr>
          <w:color w:val="262626"/>
        </w:rPr>
        <w:t xml:space="preserve">Conception d'une </w:t>
      </w:r>
      <w:r>
        <w:rPr>
          <w:b/>
          <w:color w:val="262626"/>
        </w:rPr>
        <w:t>plateforme de données d'investissement partagée sous SAS</w:t>
      </w:r>
      <w:r>
        <w:rPr>
          <w:color w:val="262626"/>
        </w:rPr>
        <w:t>, couvrant le sourcing des données, l'architecture du modèle de données, les contrôles qualité, la gouvernance des données et le reporting de gestion ; la plateforme a servi de socle pour l'ensemble des travaux d'analytique investissement ultérieurs, y compris le modèle ECL IFRS 9 déployé en 2020.</w:t>
      </w:r>
    </w:p>
    <w:p w14:paraId="428FD323" w14:textId="77777777" w:rsidR="004B17F9" w:rsidRDefault="004B17F9">
      <w:pPr>
        <w:pBdr>
          <w:bottom w:val="single" w:sz="4" w:space="1" w:color="D6E4F0"/>
        </w:pBdr>
        <w:spacing w:after="0" w:line="240" w:lineRule="auto"/>
      </w:pPr>
    </w:p>
    <w:p w14:paraId="22A3C075" w14:textId="26515906" w:rsidR="004B17F9" w:rsidRDefault="00000000">
      <w:pPr>
        <w:spacing w:before="160" w:after="30"/>
      </w:pPr>
      <w:proofErr w:type="spellStart"/>
      <w:r>
        <w:rPr>
          <w:b/>
          <w:color w:val="1F3864"/>
          <w:sz w:val="21"/>
        </w:rPr>
        <w:t>Primexis  —  CFO Advisory  /  SCOR Investment Partners</w:t>
      </w:r>
      <w:proofErr w:type="spellEnd"/>
      <w:r>
        <w:rPr>
          <w:b/>
          <w:color w:val="1F3864"/>
          <w:sz w:val="21"/>
        </w:rPr>
      </w:r>
      <w:r>
        <w:rPr>
          <w:color w:val="595959"/>
        </w:rPr>
        <w:t xml:space="preserve">  ·  Oct 2008 – Avr 2013  (4,5 ans)</w:t>
      </w:r>
    </w:p>
    <w:p w14:paraId="7F1AFAB4" w14:textId="77777777" w:rsidR="004B17F9" w:rsidRDefault="00000000">
      <w:pPr>
        <w:spacing w:after="60"/>
      </w:pPr>
      <w:r>
        <w:rPr>
          <w:b/>
          <w:i/>
          <w:color w:val="2E75B6"/>
        </w:rPr>
        <w:t>Associate Director — Insurance Practice  /  SimCorp PM chez SCOR Investment Partners</w:t>
      </w:r>
    </w:p>
    <w:p w14:paraId="4910C00E" w14:textId="77777777" w:rsidR="004B17F9" w:rsidRDefault="00000000">
      <w:pPr>
        <w:pStyle w:val="Listepuces"/>
        <w:spacing w:before="30" w:after="30"/>
        <w:ind w:hanging="180"/>
      </w:pPr>
      <w:r>
        <w:rPr>
          <w:color w:val="262626"/>
        </w:rPr>
        <w:t xml:space="preserve">En parallèle, SimCorp Dimension Project Manager chez SCOR Investment Partners (Nov 2008 – Mai 2012, 3,5 ans) : pilotage de la migration de </w:t>
      </w:r>
      <w:r>
        <w:rPr>
          <w:b/>
          <w:color w:val="262626"/>
        </w:rPr>
        <w:t>Linedata Chorus</w:t>
      </w:r>
      <w:r>
        <w:rPr>
          <w:color w:val="262626"/>
        </w:rPr>
        <w:t xml:space="preserve"> (MO/BO/comptabilité) vers </w:t>
      </w:r>
      <w:r>
        <w:rPr>
          <w:b/>
          <w:color w:val="262626"/>
        </w:rPr>
        <w:t>SimCorp Dimension</w:t>
      </w:r>
      <w:r>
        <w:rPr>
          <w:color w:val="262626"/>
        </w:rPr>
        <w:t xml:space="preserve"> sur le siège et les entités étrangères — </w:t>
      </w:r>
      <w:r>
        <w:rPr>
          <w:b/>
          <w:color w:val="262626"/>
        </w:rPr>
        <w:t>€20bn AUM</w:t>
      </w:r>
      <w:r>
        <w:rPr>
          <w:color w:val="262626"/>
        </w:rPr>
        <w:t>, équipe de 12 personnes. Bloomberg maintenu comme système FO avec intégration complète à SimCorp.</w:t>
      </w:r>
    </w:p>
    <w:p w14:paraId="22A4ABE2" w14:textId="77777777" w:rsidR="004B17F9" w:rsidRDefault="00000000">
      <w:pPr>
        <w:pStyle w:val="Listepuces"/>
        <w:spacing w:before="30" w:after="30"/>
        <w:ind w:hanging="180"/>
      </w:pPr>
      <w:r>
        <w:rPr>
          <w:color w:val="262626"/>
        </w:rPr>
        <w:t>Conception et mise en œuvre de l'</w:t>
      </w:r>
      <w:r>
        <w:rPr>
          <w:b/>
          <w:color w:val="262626"/>
        </w:rPr>
        <w:t>automatisation du look-through</w:t>
      </w:r>
      <w:r>
        <w:rPr>
          <w:color w:val="262626"/>
        </w:rPr>
        <w:t xml:space="preserve"> pour les fonds UCITS dédiés : consolidation automatisée des actifs sous-jacents, calculs de sensibilité et transparisation Solvabilité II — supprimant les processus de retraitement manuel.</w:t>
      </w:r>
    </w:p>
    <w:p w14:paraId="2262CBEE" w14:textId="77777777" w:rsidR="004B17F9" w:rsidRDefault="00000000">
      <w:pPr>
        <w:pStyle w:val="Listepuces"/>
        <w:spacing w:before="30" w:after="30"/>
        <w:ind w:hanging="180"/>
      </w:pPr>
      <w:r>
        <w:rPr>
          <w:color w:val="262626"/>
        </w:rPr>
        <w:t>Pilotage de la migration du portefeuille US incluant les produits structurés ; définition du reporting réglementaire AMF et restructuration des succursales pour les filiales étrangères.</w:t>
      </w:r>
    </w:p>
    <w:p w14:paraId="4336203C" w14:textId="77777777" w:rsidR="004B17F9" w:rsidRDefault="00000000">
      <w:pPr>
        <w:pStyle w:val="Listepuces"/>
        <w:spacing w:before="30" w:after="30"/>
        <w:ind w:hanging="180"/>
      </w:pPr>
      <w:r>
        <w:rPr>
          <w:color w:val="262626"/>
        </w:rPr>
        <w:t xml:space="preserve">En tant qu'Associate Director chez Primexis : construction d'une </w:t>
      </w:r>
      <w:r>
        <w:rPr>
          <w:b/>
          <w:color w:val="262626"/>
        </w:rPr>
        <w:t>practice Assurance de 20 consultants</w:t>
      </w:r>
      <w:r>
        <w:rPr>
          <w:color w:val="262626"/>
        </w:rPr>
        <w:t xml:space="preserve"> générant </w:t>
      </w:r>
      <w:r>
        <w:rPr>
          <w:b/>
          <w:color w:val="262626"/>
        </w:rPr>
        <w:t>€3m de chiffre d'affaires annuel</w:t>
      </w:r>
      <w:r>
        <w:rPr>
          <w:color w:val="262626"/>
        </w:rPr>
        <w:t xml:space="preserve"> sur 10 clients. Membre du Comité Exécutif.</w:t>
      </w:r>
    </w:p>
    <w:p w14:paraId="0E7F6F2C" w14:textId="77777777" w:rsidR="004B17F9" w:rsidRDefault="004B17F9">
      <w:pPr>
        <w:pBdr>
          <w:bottom w:val="single" w:sz="4" w:space="1" w:color="D6E4F0"/>
        </w:pBdr>
        <w:spacing w:after="0" w:line="240" w:lineRule="auto"/>
      </w:pPr>
    </w:p>
    <w:p w14:paraId="49D8A880" w14:textId="77777777" w:rsidR="004B17F9" w:rsidRDefault="00000000">
      <w:pPr>
        <w:spacing w:before="160" w:after="30"/>
      </w:pPr>
      <w:r>
        <w:rPr>
          <w:b/>
          <w:color w:val="1F3864"/>
          <w:sz w:val="21"/>
        </w:rPr>
        <w:t>SCOR  —  Investment Department</w:t>
      </w:r>
      <w:r>
        <w:rPr>
          <w:color w:val="595959"/>
        </w:rPr>
        <w:t xml:space="preserve">  ·  Oct 2005 – Sep 2008  (3 ans)</w:t>
      </w:r>
    </w:p>
    <w:p w14:paraId="17C51536" w14:textId="77777777" w:rsidR="004B17F9" w:rsidRDefault="00000000">
      <w:pPr>
        <w:spacing w:after="60"/>
      </w:pPr>
      <w:r>
        <w:rPr>
          <w:b/>
          <w:i/>
          <w:color w:val="2E75B6"/>
        </w:rPr>
        <w:t>Head of Transformation Projects  /  Head of Group Consolidation</w:t>
      </w:r>
    </w:p>
    <w:p w14:paraId="7ECB82DE" w14:textId="77777777" w:rsidR="004B17F9" w:rsidRDefault="00000000">
      <w:pPr>
        <w:pStyle w:val="Listepuces"/>
        <w:spacing w:before="30" w:after="30"/>
        <w:ind w:hanging="180"/>
      </w:pPr>
      <w:r>
        <w:rPr>
          <w:color w:val="262626"/>
        </w:rPr>
        <w:t xml:space="preserve">Conseil auprès du COO Investissements ; pilotage de la transformation du département investissement de SCOR vers une structure AM autonome — remplaçant un environnement fragmenté </w:t>
      </w:r>
      <w:r>
        <w:rPr>
          <w:b/>
          <w:color w:val="262626"/>
        </w:rPr>
        <w:t>Bloomberg (FO) + Linedata Chorus (MO/BO/comptabilité)</w:t>
      </w:r>
      <w:r>
        <w:rPr>
          <w:color w:val="262626"/>
        </w:rPr>
        <w:t xml:space="preserve"> par une plateforme intégrée front-to-accounting.</w:t>
      </w:r>
    </w:p>
    <w:p w14:paraId="60687F13" w14:textId="77777777" w:rsidR="004B17F9" w:rsidRDefault="00000000">
      <w:pPr>
        <w:pStyle w:val="Listepuces"/>
        <w:spacing w:before="30" w:after="30"/>
        <w:ind w:hanging="180"/>
      </w:pPr>
      <w:r>
        <w:rPr>
          <w:color w:val="262626"/>
        </w:rPr>
        <w:t xml:space="preserve">Pilotage du RFI/RFP pour la plateforme d'investissement et l'outil d'attribution de performance ; gestion de la sélection et de la gouvernance d'implémentation de </w:t>
      </w:r>
      <w:r>
        <w:rPr>
          <w:b/>
          <w:color w:val="262626"/>
        </w:rPr>
        <w:t>SimCorp Dimension</w:t>
      </w:r>
      <w:r>
        <w:rPr>
          <w:color w:val="262626"/>
        </w:rPr>
        <w:t xml:space="preserve">. Budget projet : </w:t>
      </w:r>
      <w:r>
        <w:rPr>
          <w:b/>
          <w:color w:val="262626"/>
        </w:rPr>
        <w:t>€3m/an</w:t>
      </w:r>
      <w:r>
        <w:rPr>
          <w:color w:val="262626"/>
        </w:rPr>
        <w:t>.</w:t>
      </w:r>
    </w:p>
    <w:p w14:paraId="23DFE27B" w14:textId="77777777" w:rsidR="004B17F9" w:rsidRDefault="00000000">
      <w:pPr>
        <w:pStyle w:val="Listepuces"/>
        <w:spacing w:before="30" w:after="30"/>
        <w:ind w:hanging="180"/>
      </w:pPr>
      <w:r>
        <w:rPr>
          <w:color w:val="262626"/>
        </w:rPr>
        <w:t>Head of Group Consolidation &amp; Accounting Standards (Oct 2005 – Jul 2006) : reporting consolidé trimestriel IFRS et annuel US GAAP ; définition de la politique comptable Groupe ; équipe de 5 personnes.</w:t>
      </w:r>
    </w:p>
    <w:p w14:paraId="5F0055B5" w14:textId="77777777" w:rsidR="004B17F9" w:rsidRDefault="004B17F9">
      <w:pPr>
        <w:pBdr>
          <w:bottom w:val="single" w:sz="4" w:space="1" w:color="D6E4F0"/>
        </w:pBdr>
        <w:spacing w:after="0" w:line="240" w:lineRule="auto"/>
      </w:pPr>
    </w:p>
    <w:p w14:paraId="2AE4F678" w14:textId="77777777" w:rsidR="004B17F9" w:rsidRDefault="00000000">
      <w:pPr>
        <w:spacing w:before="160" w:after="30"/>
      </w:pPr>
      <w:r>
        <w:rPr>
          <w:b/>
          <w:color w:val="1F3864"/>
          <w:sz w:val="21"/>
        </w:rPr>
        <w:t>Coface  —  Group Finance</w:t>
      </w:r>
      <w:r>
        <w:rPr>
          <w:color w:val="595959"/>
        </w:rPr>
        <w:t xml:space="preserve">  ·  Mai 2004 – Oct 2005  (18 mois)</w:t>
      </w:r>
    </w:p>
    <w:p w14:paraId="2CD01AC8" w14:textId="77777777" w:rsidR="004B17F9" w:rsidRDefault="00000000">
      <w:pPr>
        <w:spacing w:after="60"/>
      </w:pPr>
      <w:r>
        <w:rPr>
          <w:b/>
          <w:i/>
          <w:color w:val="2E75B6"/>
        </w:rPr>
        <w:t>Head of Technical Accounting and Reserving</w:t>
      </w:r>
    </w:p>
    <w:p w14:paraId="46A0458B" w14:textId="77777777" w:rsidR="004B17F9" w:rsidRDefault="00000000">
      <w:pPr>
        <w:pStyle w:val="Listepuces"/>
        <w:spacing w:before="30" w:after="30"/>
        <w:ind w:hanging="180"/>
      </w:pPr>
      <w:r>
        <w:rPr>
          <w:color w:val="262626"/>
        </w:rPr>
        <w:t xml:space="preserve">Conception et mise en œuvre de la </w:t>
      </w:r>
      <w:r>
        <w:rPr>
          <w:b/>
          <w:color w:val="262626"/>
        </w:rPr>
        <w:t>méthodologie stochastique de provisionnement Bornhuetter-Ferguson</w:t>
      </w:r>
      <w:r>
        <w:rPr>
          <w:color w:val="262626"/>
        </w:rPr>
        <w:t xml:space="preserve"> — remplaçant l'estimation manuelle par un modèle quantitatif structuré. Coordination des parties prenantes comptables, actuarielles et opérationnelles ; accélération du processus de clôture.</w:t>
      </w:r>
    </w:p>
    <w:p w14:paraId="0D98CC00" w14:textId="77777777" w:rsidR="004B17F9" w:rsidRDefault="00000000">
      <w:pPr>
        <w:pStyle w:val="Listepuces"/>
        <w:spacing w:before="30" w:after="30"/>
        <w:ind w:hanging="180"/>
      </w:pPr>
      <w:r>
        <w:rPr>
          <w:color w:val="262626"/>
        </w:rPr>
        <w:t>Comptabilité des placements, comptabilité technique d'assurance ; réconciliations intercompagnies ; coordination avec la Direction Financière Groupe.</w:t>
      </w:r>
    </w:p>
    <w:p w14:paraId="39D6E20F" w14:textId="77777777" w:rsidR="004B17F9" w:rsidRDefault="004B17F9">
      <w:pPr>
        <w:pBdr>
          <w:bottom w:val="single" w:sz="4" w:space="1" w:color="D6E4F0"/>
        </w:pBdr>
        <w:spacing w:after="0" w:line="240" w:lineRule="auto"/>
      </w:pPr>
    </w:p>
    <w:p w14:paraId="03AB2CEC" w14:textId="77777777" w:rsidR="004B17F9" w:rsidRDefault="00000000">
      <w:pPr>
        <w:spacing w:before="160" w:after="30"/>
      </w:pPr>
      <w:r>
        <w:rPr>
          <w:b/>
          <w:color w:val="1F3864"/>
          <w:sz w:val="21"/>
        </w:rPr>
        <w:t>Mazars</w:t>
      </w:r>
      <w:r>
        <w:rPr>
          <w:color w:val="595959"/>
        </w:rPr>
        <w:t xml:space="preserve">  ·  Sep 1999 – Mai 2004  (5 ans)</w:t>
      </w:r>
    </w:p>
    <w:p w14:paraId="58E71A8C" w14:textId="77777777" w:rsidR="004B17F9" w:rsidRDefault="00000000">
      <w:pPr>
        <w:spacing w:after="60"/>
      </w:pPr>
      <w:r>
        <w:rPr>
          <w:b/>
          <w:i/>
          <w:color w:val="2E75B6"/>
        </w:rPr>
        <w:t>Audit Manager — Practice Assurance &amp; Réassurance</w:t>
      </w:r>
    </w:p>
    <w:p w14:paraId="34F24B45" w14:textId="77777777" w:rsidR="004B17F9" w:rsidRDefault="00000000">
      <w:pPr>
        <w:pStyle w:val="Listepuces"/>
        <w:spacing w:before="30" w:after="30"/>
        <w:ind w:hanging="180"/>
      </w:pPr>
      <w:r>
        <w:rPr>
          <w:color w:val="262626"/>
        </w:rPr>
        <w:t>Audit légal, revues de contrôle interne, due diligence et support transactionnel pour assureurs et réassureurs.</w:t>
      </w:r>
    </w:p>
    <w:p w14:paraId="4E3E6ACF" w14:textId="77777777" w:rsidR="004B17F9" w:rsidRDefault="00000000">
      <w:pPr>
        <w:pStyle w:val="Listepuces"/>
        <w:spacing w:before="30" w:after="30"/>
        <w:ind w:hanging="180"/>
      </w:pPr>
      <w:r>
        <w:rPr>
          <w:color w:val="262626"/>
        </w:rPr>
        <w:t>Revues de la fonction investissement ; travaux de contrôle financier et de prévision.</w:t>
      </w:r>
    </w:p>
    <w:p w14:paraId="4B9471BF" w14:textId="77777777" w:rsidR="004B17F9" w:rsidRDefault="00000000">
      <w:pPr>
        <w:shd w:val="clear" w:color="auto" w:fill="2E75B6"/>
        <w:spacing w:before="200" w:after="80"/>
      </w:pPr>
      <w:r>
        <w:rPr>
          <w:b/>
          <w:color w:val="FFFFFF"/>
          <w:sz w:val="22"/>
        </w:rPr>
        <w:t xml:space="preserve">  FORMATION &amp; QUALIFICATIONS</w:t>
      </w:r>
    </w:p>
    <w:p w14:paraId="18DC9178" w14:textId="77777777" w:rsidR="004B17F9" w:rsidRDefault="00000000">
      <w:pPr>
        <w:spacing w:before="50" w:after="50"/>
        <w:ind w:left="180"/>
      </w:pPr>
      <w:r>
        <w:rPr>
          <w:b/>
          <w:color w:val="1F3864"/>
        </w:rPr>
        <w:t>ESCP Business School</w:t>
      </w:r>
      <w:r>
        <w:rPr>
          <w:color w:val="262626"/>
        </w:rPr>
        <w:t xml:space="preserve">  —  Grande École — Master in Management  |  Spécialisation : Finance  |  1991–1995</w:t>
      </w:r>
      <w:r>
        <w:rPr>
          <w:color w:val="595959"/>
          <w:sz w:val="18"/>
        </w:rPr>
      </w:r>
    </w:p>
    <w:p w14:paraId="60C55D57" w14:textId="77777777" w:rsidR="004B17F9" w:rsidRDefault="00000000">
      <w:pPr>
        <w:spacing w:before="50" w:after="50"/>
        <w:ind w:left="180"/>
      </w:pPr>
      <w:r>
        <w:rPr>
          <w:b/>
          <w:color w:val="1F3864"/>
        </w:rPr>
        <w:t>Centre d'Études Actuarielles, Paris</w:t>
      </w:r>
      <w:r>
        <w:rPr>
          <w:color w:val="262626"/>
        </w:rPr>
        <w:t xml:space="preserve">  —  Master en actuariat  |  2002–2004</w:t>
      </w:r>
      <w:r>
        <w:rPr>
          <w:color w:val="595959"/>
          <w:sz w:val="18"/>
        </w:rPr>
      </w:r>
    </w:p>
    <w:p w14:paraId="0E9ACE04" w14:textId="77777777" w:rsidR="004B17F9" w:rsidRDefault="00000000">
      <w:pPr>
        <w:spacing w:before="50" w:after="50"/>
        <w:ind w:left="180"/>
      </w:pPr>
      <w:r>
        <w:rPr>
          <w:b/>
          <w:color w:val="1F3864"/>
        </w:rPr>
        <w:t>ENOES — École de l'Expertise Comptable</w:t>
      </w:r>
      <w:r>
        <w:rPr>
          <w:color w:val="262626"/>
        </w:rPr>
        <w:t xml:space="preserve">  —  D.E.C.F. (équivalent CPA français)  |  2001</w:t>
      </w:r>
      <w:r>
        <w:rPr>
          <w:color w:val="595959"/>
          <w:sz w:val="18"/>
        </w:rPr>
      </w:r>
    </w:p>
    <w:p w14:paraId="63DE2925" w14:textId="77777777" w:rsidR="004B17F9" w:rsidRDefault="00000000">
      <w:pPr>
        <w:spacing w:before="50" w:after="50"/>
        <w:ind w:left="180"/>
      </w:pPr>
      <w:r>
        <w:rPr>
          <w:b/>
          <w:color w:val="1F3864"/>
        </w:rPr>
        <w:t>Université Paris Dauphine – PSL</w:t>
      </w:r>
      <w:r>
        <w:rPr>
          <w:color w:val="262626"/>
        </w:rPr>
        <w:t xml:space="preserve">  —  Master en économie  |  1995–1996</w:t>
      </w:r>
      <w:r>
        <w:rPr>
          <w:color w:val="595959"/>
          <w:sz w:val="18"/>
        </w:rPr>
      </w:r>
    </w:p>
    <w:p w14:paraId="5CDD6B66" w14:textId="77777777" w:rsidR="004B17F9" w:rsidRDefault="00000000">
      <w:pPr>
        <w:spacing w:before="50" w:after="50"/>
        <w:ind w:left="180"/>
      </w:pPr>
      <w:r>
        <w:rPr>
          <w:b/>
          <w:color w:val="1F3864"/>
        </w:rPr>
        <w:t>Project Management Institute</w:t>
      </w:r>
      <w:r>
        <w:rPr>
          <w:color w:val="262626"/>
        </w:rPr>
        <w:t xml:space="preserve">  —  PMP® — Project Management Professional (active)</w:t>
      </w:r>
    </w:p>
    <w:p w14:paraId="356E04AB" w14:textId="77777777" w:rsidR="004B17F9" w:rsidRDefault="00000000">
      <w:pPr>
        <w:spacing w:before="50" w:after="50"/>
        <w:ind w:left="180"/>
      </w:pPr>
      <w:r>
        <w:rPr>
          <w:b/>
          <w:color w:val="1F3864"/>
        </w:rPr>
        <w:t>Certifications</w:t>
      </w:r>
      <w:r>
        <w:rPr>
          <w:color w:val="262626"/>
        </w:rPr>
        <w:t xml:space="preserve">  —  Generative AI Primer  |  GenAI for Account Executives</w:t>
      </w:r>
    </w:p>
    <w:p w14:paraId="58B5DB14" w14:textId="77777777" w:rsidR="004B17F9" w:rsidRDefault="00000000">
      <w:pPr>
        <w:shd w:val="clear" w:color="auto" w:fill="2E75B6"/>
        <w:spacing w:before="200" w:after="80"/>
      </w:pPr>
      <w:r>
        <w:rPr>
          <w:b/>
          <w:color w:val="FFFFFF"/>
          <w:sz w:val="22"/>
        </w:rPr>
        <w:t xml:space="preserve">  LANGUES &amp; DISPONIBILITÉ</w:t>
      </w:r>
    </w:p>
    <w:p w14:paraId="53A268A1" w14:textId="77777777" w:rsidR="004B17F9" w:rsidRDefault="00000000">
      <w:pPr>
        <w:spacing w:before="80" w:after="80"/>
        <w:ind w:left="180"/>
      </w:pPr>
      <w:r>
        <w:rPr>
          <w:color w:val="262626"/>
        </w:rPr>
        <w:t>Français : langue maternelle  |  Anglais : courant professionnel (C1/C2)  |  Espagnol &amp; Italien : niveau élémentaire  |  Allemand : notions limitées</w:t>
      </w:r>
    </w:p>
    <w:p w14:paraId="1894C494" w14:textId="77777777" w:rsidR="004B17F9" w:rsidRDefault="00000000">
      <w:pPr>
        <w:spacing w:after="80"/>
        <w:ind w:left="180"/>
      </w:pPr>
      <w:r>
        <w:rPr>
          <w:color w:val="262626"/>
        </w:rPr>
        <w:t>Disponibilité : Mai 2026  |  Format : télétravail privilégié, hybride envisageable  |  Zone géographique : France, UK, Europe continentale, Amérique du Nord, APAC</w:t>
      </w:r>
    </w:p>
    <w:sectPr w:rsidR="004B17F9"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237075"/>
    <w:multiLevelType w:val="hybridMultilevel"/>
    <w:tmpl w:val="2EB66DBC"/>
    <w:lvl w:ilvl="0" w:tplc="040C0001">
      <w:start w:val="1"/>
      <w:numFmt w:val="bullet"/>
      <w:lvlText w:val=""/>
      <w:lvlJc w:val="left"/>
      <w:pPr>
        <w:ind w:left="840" w:hanging="360"/>
      </w:pPr>
      <w:rPr>
        <w:rFonts w:ascii="Symbol" w:hAnsi="Symbol" w:hint="default"/>
      </w:rPr>
    </w:lvl>
    <w:lvl w:ilvl="1" w:tplc="040C0003" w:tentative="1">
      <w:start w:val="1"/>
      <w:numFmt w:val="bullet"/>
      <w:lvlText w:val="o"/>
      <w:lvlJc w:val="left"/>
      <w:pPr>
        <w:ind w:left="1560" w:hanging="360"/>
      </w:pPr>
      <w:rPr>
        <w:rFonts w:ascii="Courier New" w:hAnsi="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hint="default"/>
      </w:rPr>
    </w:lvl>
    <w:lvl w:ilvl="8" w:tplc="040C0005" w:tentative="1">
      <w:start w:val="1"/>
      <w:numFmt w:val="bullet"/>
      <w:lvlText w:val=""/>
      <w:lvlJc w:val="left"/>
      <w:pPr>
        <w:ind w:left="6600" w:hanging="360"/>
      </w:pPr>
      <w:rPr>
        <w:rFonts w:ascii="Wingdings" w:hAnsi="Wingdings" w:hint="default"/>
      </w:rPr>
    </w:lvl>
  </w:abstractNum>
  <w:abstractNum w:abstractNumId="10" w15:restartNumberingAfterBreak="0">
    <w:nsid w:val="79947A5E"/>
    <w:multiLevelType w:val="hybridMultilevel"/>
    <w:tmpl w:val="705CEEE4"/>
    <w:lvl w:ilvl="0" w:tplc="040C0001">
      <w:start w:val="1"/>
      <w:numFmt w:val="bullet"/>
      <w:lvlText w:val=""/>
      <w:lvlJc w:val="left"/>
      <w:pPr>
        <w:ind w:left="900" w:hanging="360"/>
      </w:pPr>
      <w:rPr>
        <w:rFonts w:ascii="Symbol" w:hAnsi="Symbol" w:hint="default"/>
      </w:rPr>
    </w:lvl>
    <w:lvl w:ilvl="1" w:tplc="040C0003" w:tentative="1">
      <w:start w:val="1"/>
      <w:numFmt w:val="bullet"/>
      <w:lvlText w:val="o"/>
      <w:lvlJc w:val="left"/>
      <w:pPr>
        <w:ind w:left="1620" w:hanging="360"/>
      </w:pPr>
      <w:rPr>
        <w:rFonts w:ascii="Courier New" w:hAnsi="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hint="default"/>
      </w:rPr>
    </w:lvl>
    <w:lvl w:ilvl="8" w:tplc="040C0005" w:tentative="1">
      <w:start w:val="1"/>
      <w:numFmt w:val="bullet"/>
      <w:lvlText w:val=""/>
      <w:lvlJc w:val="left"/>
      <w:pPr>
        <w:ind w:left="6660" w:hanging="360"/>
      </w:pPr>
      <w:rPr>
        <w:rFonts w:ascii="Wingdings" w:hAnsi="Wingdings" w:hint="default"/>
      </w:rPr>
    </w:lvl>
  </w:abstractNum>
  <w:num w:numId="1" w16cid:durableId="1319575198">
    <w:abstractNumId w:val="8"/>
  </w:num>
  <w:num w:numId="2" w16cid:durableId="829560583">
    <w:abstractNumId w:val="6"/>
  </w:num>
  <w:num w:numId="3" w16cid:durableId="1552499846">
    <w:abstractNumId w:val="5"/>
  </w:num>
  <w:num w:numId="4" w16cid:durableId="1850682786">
    <w:abstractNumId w:val="4"/>
  </w:num>
  <w:num w:numId="5" w16cid:durableId="897589947">
    <w:abstractNumId w:val="7"/>
  </w:num>
  <w:num w:numId="6" w16cid:durableId="1005205406">
    <w:abstractNumId w:val="3"/>
  </w:num>
  <w:num w:numId="7" w16cid:durableId="1757703315">
    <w:abstractNumId w:val="2"/>
  </w:num>
  <w:num w:numId="8" w16cid:durableId="1139685493">
    <w:abstractNumId w:val="1"/>
  </w:num>
  <w:num w:numId="9" w16cid:durableId="233243014">
    <w:abstractNumId w:val="0"/>
  </w:num>
  <w:num w:numId="10" w16cid:durableId="321861825">
    <w:abstractNumId w:val="9"/>
  </w:num>
  <w:num w:numId="11" w16cid:durableId="2695558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ED7"/>
    <w:rsid w:val="0029639D"/>
    <w:rsid w:val="00326F90"/>
    <w:rsid w:val="0044507F"/>
    <w:rsid w:val="004B17F9"/>
    <w:rsid w:val="00791555"/>
    <w:rsid w:val="00AA1D8D"/>
    <w:rsid w:val="00B47730"/>
    <w:rsid w:val="00CB0664"/>
    <w:rsid w:val="00CF0009"/>
    <w:rsid w:val="00E97B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FFE5A"/>
  <w14:defaultImageDpi w14:val="300"/>
  <w15:docId w15:val="{41C14C36-5BC1-D948-B300-F6256751A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1759</Words>
  <Characters>9675</Characters>
  <Application>Microsoft Office Word</Application>
  <DocSecurity>0</DocSecurity>
  <Lines>80</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Xavier Robitaille</cp:lastModifiedBy>
  <cp:revision>3</cp:revision>
  <dcterms:created xsi:type="dcterms:W3CDTF">2013-12-23T23:15:00Z</dcterms:created>
  <dcterms:modified xsi:type="dcterms:W3CDTF">2026-05-11T15:04:00Z</dcterms:modified>
  <cp:category/>
</cp:coreProperties>
</file>