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DE10" w14:textId="77777777" w:rsidR="007E13C3" w:rsidRDefault="00000000">
      <w:pPr>
        <w:shd w:val="clear" w:color="auto" w:fill="1F3864"/>
        <w:spacing w:after="0" w:line="240" w:lineRule="auto"/>
        <w:jc w:val="center"/>
      </w:pPr>
      <w:r>
        <w:rPr>
          <w:b/>
          <w:color w:val="FFFFFF"/>
          <w:sz w:val="32"/>
        </w:rPr>
        <w:t>XAVIER ROBITAILLE</w:t>
      </w:r>
    </w:p>
    <w:p w14:paraId="2589EAC0" w14:textId="6F819129" w:rsidR="007E13C3" w:rsidRPr="006D7B53" w:rsidRDefault="00000000">
      <w:pPr>
        <w:shd w:val="clear" w:color="auto" w:fill="1F3864"/>
        <w:spacing w:after="0" w:line="240" w:lineRule="auto"/>
        <w:jc w:val="center"/>
        <w:rPr>
          <w:sz w:val="4"/>
          <w:szCs w:val="6"/>
        </w:rPr>
      </w:pPr>
      <w:r>
        <w:rPr>
          <w:color w:val="D6E4F0"/>
        </w:rPr>
        <w:t>Consultant Senior en Transformation Finance  |  PMO &amp; Pilotage de Programme  |  Assurance &amp; Asset Management</w:t>
        <w:br/>
      </w:r>
      <w:r w:rsidR="006D7B53">
        <w:rPr>
          <w:color w:val="D6E4F0"/>
        </w:rPr>
      </w:r>
    </w:p>
    <w:p w14:paraId="36FF808C" w14:textId="550032B4" w:rsidR="007E13C3" w:rsidRPr="006D7B53" w:rsidRDefault="00000000">
      <w:pPr>
        <w:shd w:val="clear" w:color="auto" w:fill="2E75B6"/>
        <w:spacing w:before="60" w:after="60" w:line="240" w:lineRule="auto"/>
        <w:jc w:val="center"/>
        <w:rPr>
          <w:sz w:val="4"/>
          <w:szCs w:val="10"/>
        </w:rPr>
      </w:pPr>
      <w:r>
        <w:rPr>
          <w:color w:val="FFFFFF"/>
          <w:sz w:val="18"/>
        </w:rPr>
        <w:t>+33 6 64 89 09 43  |  xrobitaille92150@gmail.com  |  linkedin.com/in/xrobitaille  |  Ouvert aux missions à distance / à l'international</w:t>
        <w:br/>
      </w:r>
      <w:r w:rsidR="006D7B53">
        <w:rPr>
          <w:color w:val="FFFFFF"/>
          <w:sz w:val="18"/>
        </w:rPr>
      </w:r>
    </w:p>
    <w:p w14:paraId="7D926E6D" w14:textId="77777777" w:rsidR="006D7B53" w:rsidRPr="006D7B53" w:rsidRDefault="00000000" w:rsidP="006D7B53">
      <w:pPr>
        <w:spacing w:after="0"/>
        <w:rPr>
          <w:sz w:val="2"/>
          <w:szCs w:val="2"/>
        </w:rPr>
      </w:pPr>
      <w:r w:rsidRPr="006D7B53">
        <w:rPr>
          <w:sz w:val="2"/>
          <w:szCs w:val="2"/>
        </w:rPr>
        <w:t xml:space="preserve">  </w:t>
      </w:r>
    </w:p>
    <w:p w14:paraId="02F34890" w14:textId="2790EAF5" w:rsidR="007E13C3" w:rsidRDefault="00000000">
      <w:pPr>
        <w:shd w:val="clear" w:color="auto" w:fill="2E75B6"/>
        <w:spacing w:before="200" w:after="80"/>
      </w:pPr>
      <w:r>
        <w:rPr>
          <w:b/>
          <w:color w:val="FFFFFF"/>
          <w:sz w:val="22"/>
        </w:rPr>
        <w:t>SYNTHÈSE</w:t>
      </w:r>
    </w:p>
    <w:p w14:paraId="3630E551" w14:textId="77777777" w:rsidR="001A51F6" w:rsidRPr="00C70F2A" w:rsidRDefault="00000000" w:rsidP="00C70F2A">
      <w:pPr>
        <w:pStyle w:val="Paragraphedeliste"/>
        <w:numPr>
          <w:ilvl w:val="0"/>
          <w:numId w:val="12"/>
        </w:numPr>
        <w:spacing w:before="80" w:after="80"/>
        <w:ind w:left="142" w:right="120" w:hanging="142"/>
        <w:jc w:val="both"/>
        <w:rPr>
          <w:color w:val="262626"/>
        </w:rPr>
      </w:pPr>
      <w:r w:rsidRPr="00C70F2A">
        <w:rPr>
          <w:b/>
          <w:bCs/>
          <w:color w:val="262626"/>
        </w:rPr>
        <w:t>Professionnel senior en transformation finance</w:t>
      </w:r>
      <w:r w:rsidRPr="00C70F2A">
        <w:rPr>
          <w:color w:val="262626"/>
        </w:rPr>
        <w:t xml:space="preserve"> avec plus de 25 ans d'expérience en assurance, réassurance et asset management. Allie rigueur de conseil, expertise comptable technique et pilotage opérationnel de programmes sur les segments les plus exigeants de la transformation CFO-office.</w:t>
      </w:r>
    </w:p>
    <w:p w14:paraId="79BB0B88" w14:textId="79C577C6" w:rsidR="001A51F6" w:rsidRPr="00C70F2A" w:rsidRDefault="00000000" w:rsidP="00C70F2A">
      <w:pPr>
        <w:pStyle w:val="Paragraphedeliste"/>
        <w:numPr>
          <w:ilvl w:val="0"/>
          <w:numId w:val="12"/>
        </w:numPr>
        <w:spacing w:before="80" w:after="80"/>
        <w:ind w:left="142" w:right="120" w:hanging="142"/>
        <w:jc w:val="both"/>
        <w:rPr>
          <w:color w:val="262626"/>
        </w:rPr>
      </w:pPr>
      <w:r w:rsidRPr="00C70F2A">
        <w:rPr>
          <w:b/>
          <w:bCs/>
          <w:color w:val="262626"/>
        </w:rPr>
        <w:t>Expertise clé :</w:t>
      </w:r>
      <w:r w:rsidRPr="00C70F2A">
        <w:rPr>
          <w:color w:val="262626"/>
        </w:rPr>
        <w:t xml:space="preserve"> mise en œuvre IFRS 9 / IFRS 17 / Solvabilité II, transformation de la comptabilité des placements, refonte des processus Record-to-Report (R2R), conception de modèles opératoires finance, optimisation des clôtures, automatisation du reporting réglementaire et gouvernance PMO. Expérience avérée d'alignement des parties prenantes senior (niveau CFO, COO, CIO) et de pilotage de go-live sur des plateformes SaaS cloud-native et on-premises (Clearwater Analytics, SimCorp Dimension, SAP S/4HANA, Bloomberg).</w:t>
      </w:r>
      <w:r w:rsidR="006D7B53" w:rsidRPr="00C70F2A">
        <w:rPr>
          <w:color w:val="262626"/>
        </w:rPr>
      </w:r>
      <w:r w:rsidRPr="00C70F2A">
        <w:rPr>
          <w:color w:val="262626"/>
        </w:rPr>
      </w:r>
    </w:p>
    <w:p w14:paraId="4D4C18A1" w14:textId="77777777" w:rsidR="00C70F2A" w:rsidRPr="00C70F2A" w:rsidRDefault="00000000" w:rsidP="00C70F2A">
      <w:pPr>
        <w:pStyle w:val="Paragraphedeliste"/>
        <w:numPr>
          <w:ilvl w:val="0"/>
          <w:numId w:val="12"/>
        </w:numPr>
        <w:spacing w:before="80" w:after="80"/>
        <w:ind w:left="142" w:right="120" w:hanging="142"/>
        <w:jc w:val="both"/>
        <w:rPr>
          <w:color w:val="262626"/>
        </w:rPr>
      </w:pPr>
      <w:r w:rsidRPr="00C70F2A">
        <w:rPr>
          <w:color w:val="262626"/>
        </w:rPr>
        <w:t>Particulièrement efficace dans</w:t>
      </w:r>
      <w:r w:rsidRPr="00C70F2A">
        <w:rPr>
          <w:b/>
          <w:bCs/>
          <w:color w:val="262626"/>
        </w:rPr>
        <w:t xml:space="preserve"> les contextes de transformation portés par la technologie</w:t>
      </w:r>
      <w:r w:rsidRPr="00C70F2A">
        <w:rPr>
          <w:color w:val="262626"/>
        </w:rPr>
        <w:t xml:space="preserve"> — où l'automatisation des processus, les contrôles pilotés par l'IA et la modernisation des plateformes de données sont aussi déterminants que l'expertise comptable technique. </w:t>
      </w:r>
    </w:p>
    <w:p w14:paraId="4A337DA6" w14:textId="7FF3B20F" w:rsidR="007E13C3" w:rsidRPr="00C70F2A" w:rsidRDefault="00000000" w:rsidP="00C70F2A">
      <w:pPr>
        <w:pStyle w:val="Paragraphedeliste"/>
        <w:numPr>
          <w:ilvl w:val="0"/>
          <w:numId w:val="12"/>
        </w:numPr>
        <w:spacing w:before="80" w:after="80"/>
        <w:ind w:left="142" w:right="120" w:hanging="142"/>
        <w:jc w:val="both"/>
        <w:rPr>
          <w:color w:val="262626"/>
        </w:rPr>
      </w:pPr>
      <w:r w:rsidRPr="00C70F2A">
        <w:rPr>
          <w:b/>
          <w:bCs/>
          <w:color w:val="262626"/>
        </w:rPr>
        <w:t>Bilingue EN/FR</w:t>
      </w:r>
      <w:r w:rsidRPr="00C70F2A">
        <w:rPr>
          <w:color w:val="262626"/>
        </w:rPr>
        <w:t>. Disponible pour des missions à distance dans le monde entier / en mode hybride ou sur site en Europe continentale et au Royaume-Uni.</w:t>
      </w:r>
      <w:r w:rsidR="00C70F2A" w:rsidRPr="00C70F2A">
        <w:rPr>
          <w:color w:val="262626"/>
        </w:rPr>
      </w:r>
      <w:r w:rsidRPr="00C70F2A">
        <w:rPr>
          <w:color w:val="262626"/>
        </w:rPr>
      </w:r>
      <w:r w:rsidR="00C70F2A" w:rsidRPr="00C70F2A">
        <w:rPr>
          <w:color w:val="262626"/>
        </w:rPr>
      </w:r>
    </w:p>
    <w:p w14:paraId="34683222" w14:textId="77777777" w:rsidR="007E13C3" w:rsidRDefault="00000000">
      <w:pPr>
        <w:shd w:val="clear" w:color="auto" w:fill="2E75B6"/>
        <w:spacing w:before="200" w:after="80"/>
      </w:pPr>
      <w:r>
        <w:rPr>
          <w:b/>
          <w:color w:val="FFFFFF"/>
          <w:sz w:val="22"/>
        </w:rPr>
        <w:t xml:space="preserve">  MOTS-CLÉS</w:t>
      </w:r>
    </w:p>
    <w:p w14:paraId="1C581141" w14:textId="77777777" w:rsidR="007E13C3" w:rsidRDefault="00000000">
      <w:pPr>
        <w:spacing w:before="60" w:after="60"/>
        <w:ind w:left="120" w:right="120"/>
      </w:pPr>
      <w:r>
        <w:rPr>
          <w:color w:val="262626"/>
          <w:sz w:val="18"/>
        </w:rPr>
        <w:t>Transformation Finance  |  Management de Transition Finance  |  PMO  |  CFO Office  |  Pilotage de Programme  |  IFRS 9  |  IFRS 17  |  Solvency II  |  Comptabilité des Placements  |  Record to Report (R2R)  |  Automatisation des Processus  |  Optimisation des Processus  |  Automatisation Intelligente  |  Tech-Enabled Transformation  |  Target Operating Model  |  Optimisation des Clôtures  |  Reporting Réglementaire  |  Plateformes Finance SaaS / Cloud  |  Gestion des Données  |  Pilotage UAT  |  Migration de Données  |  Support Go-live  |  SimCorp Dimension  |  Clearwater Analytics  |  SAP S/4HANA  |  SAP BFC  |  Bloomberg  |  Power BI  |  SAS</w:t>
      </w:r>
    </w:p>
    <w:p w14:paraId="799AA85A" w14:textId="77777777" w:rsidR="007E13C3" w:rsidRDefault="00000000">
      <w:pPr>
        <w:shd w:val="clear" w:color="auto" w:fill="2E75B6"/>
        <w:spacing w:before="200" w:after="80"/>
      </w:pPr>
      <w:r>
        <w:rPr>
          <w:b/>
          <w:color w:val="FFFFFF"/>
          <w:sz w:val="22"/>
        </w:rPr>
        <w:t xml:space="preserve">  EXPÉRIENCE PROFESSIONNELLE</w:t>
      </w:r>
    </w:p>
    <w:p w14:paraId="3D39784F" w14:textId="77777777" w:rsidR="007E13C3" w:rsidRDefault="00000000">
      <w:pPr>
        <w:spacing w:before="160" w:after="30"/>
      </w:pPr>
      <w:r>
        <w:rPr>
          <w:b/>
          <w:color w:val="1F3864"/>
          <w:sz w:val="21"/>
        </w:rPr>
        <w:t>Clearwater Analytics</w:t>
      </w:r>
      <w:r>
        <w:rPr>
          <w:color w:val="595959"/>
        </w:rPr>
        <w:t xml:space="preserve">  ·  Nov 2024 – Avr 2026  (18 mois)</w:t>
      </w:r>
    </w:p>
    <w:p w14:paraId="60C95307" w14:textId="77777777" w:rsidR="007E13C3" w:rsidRDefault="00000000">
      <w:pPr>
        <w:spacing w:after="60"/>
      </w:pPr>
      <w:r>
        <w:rPr>
          <w:b/>
          <w:i/>
          <w:color w:val="2E75B6"/>
        </w:rPr>
        <w:t>Senior Programme Manager — Plateforme d'Investissement Cloud-Native &amp; Automatisation Finance</w:t>
      </w:r>
    </w:p>
    <w:p w14:paraId="268315B3" w14:textId="77777777" w:rsidR="007E13C3" w:rsidRDefault="00000000" w:rsidP="006D7B53">
      <w:pPr>
        <w:pStyle w:val="Listepuces"/>
        <w:spacing w:before="30" w:after="30"/>
        <w:ind w:hanging="180"/>
        <w:jc w:val="both"/>
      </w:pPr>
      <w:r>
        <w:rPr>
          <w:color w:val="262626"/>
        </w:rPr>
        <w:t xml:space="preserve">Pilotage de bout en bout du déploiement d'une </w:t>
      </w:r>
      <w:r>
        <w:rPr>
          <w:b/>
          <w:color w:val="262626"/>
        </w:rPr>
        <w:t>plateforme SaaS Clearwater Analytics</w:t>
      </w:r>
      <w:r>
        <w:rPr>
          <w:color w:val="262626"/>
        </w:rPr>
        <w:t xml:space="preserve"> pour un réassureur français (</w:t>
      </w:r>
      <w:r>
        <w:rPr>
          <w:b/>
          <w:color w:val="262626"/>
        </w:rPr>
        <w:t>€11bn AUM</w:t>
      </w:r>
      <w:r>
        <w:rPr>
          <w:color w:val="262626"/>
        </w:rPr>
        <w:t xml:space="preserve"> : fixed income, TCN, fonds cotés, fonds fermés), en remplacement d'un système </w:t>
      </w:r>
      <w:r>
        <w:rPr>
          <w:b/>
          <w:color w:val="262626"/>
        </w:rPr>
        <w:t>Linedata Chorus</w:t>
      </w:r>
      <w:r>
        <w:rPr>
          <w:color w:val="262626"/>
        </w:rPr>
        <w:t xml:space="preserve"> historique — le second remplacement complet de Chorus de cette carrière (premier : Chorus → SimCorp Dimension chez SCOR IP, 2008–2012).</w:t>
      </w:r>
    </w:p>
    <w:p w14:paraId="0DE44BEC" w14:textId="77777777" w:rsidR="007E13C3" w:rsidRDefault="00000000" w:rsidP="006D7B53">
      <w:pPr>
        <w:pStyle w:val="Listepuces"/>
        <w:spacing w:before="30" w:after="30"/>
        <w:ind w:hanging="180"/>
        <w:jc w:val="both"/>
      </w:pPr>
      <w:r>
        <w:rPr>
          <w:color w:val="262626"/>
        </w:rPr>
        <w:t xml:space="preserve">Livraison d'un </w:t>
      </w:r>
      <w:r>
        <w:rPr>
          <w:b/>
          <w:color w:val="262626"/>
        </w:rPr>
        <w:t>straight-through processing (STP)</w:t>
      </w:r>
      <w:r>
        <w:rPr>
          <w:color w:val="262626"/>
        </w:rPr>
        <w:t xml:space="preserve"> complet sur toute la chaîne de valeur investissement : gestion des ordres → production comptable → reporting réglementaire Solvabilité II — éliminant la ressaisie manuelle entre Front Office, Middle Office, Back Office et IT.</w:t>
      </w:r>
    </w:p>
    <w:p w14:paraId="0A4152B0" w14:textId="77777777" w:rsidR="007E13C3" w:rsidRDefault="00000000" w:rsidP="006D7B53">
      <w:pPr>
        <w:pStyle w:val="Listepuces"/>
        <w:spacing w:before="30" w:after="30"/>
        <w:ind w:hanging="180"/>
        <w:jc w:val="both"/>
      </w:pPr>
      <w:r>
        <w:rPr>
          <w:color w:val="262626"/>
        </w:rPr>
        <w:t xml:space="preserve">Automatisation du rapprochement dépositaire et bancaire : fréquence passée de </w:t>
      </w:r>
      <w:r>
        <w:rPr>
          <w:b/>
          <w:color w:val="262626"/>
        </w:rPr>
        <w:t>hebdomadaire à quotidienne</w:t>
      </w:r>
      <w:r>
        <w:rPr>
          <w:color w:val="262626"/>
        </w:rPr>
        <w:t xml:space="preserve"> ; déploiement d'un </w:t>
      </w:r>
      <w:r>
        <w:rPr>
          <w:b/>
          <w:color w:val="262626"/>
        </w:rPr>
        <w:t>rapprochement tripartite assisté par IA</w:t>
      </w:r>
      <w:r>
        <w:rPr>
          <w:color w:val="262626"/>
        </w:rPr>
        <w:t xml:space="preserve"> (Front Office / Back Office / dépositaire) avec pré-diagnostic automatisé des écarts.</w:t>
      </w:r>
    </w:p>
    <w:p w14:paraId="070DD506" w14:textId="77777777" w:rsidR="007E13C3" w:rsidRDefault="00000000" w:rsidP="006D7B53">
      <w:pPr>
        <w:pStyle w:val="Listepuces"/>
        <w:spacing w:before="30" w:after="30"/>
        <w:ind w:hanging="180"/>
        <w:jc w:val="both"/>
      </w:pPr>
      <w:r>
        <w:rPr>
          <w:color w:val="262626"/>
        </w:rPr>
        <w:t xml:space="preserve">Mise en œuvre d'un </w:t>
      </w:r>
      <w:r>
        <w:rPr>
          <w:b/>
          <w:color w:val="262626"/>
        </w:rPr>
        <w:t>dispositif de contrôle piloté par l'IA</w:t>
      </w:r>
      <w:r>
        <w:rPr>
          <w:color w:val="262626"/>
        </w:rPr>
        <w:t xml:space="preserve"> : surveillance des variations de prix, contrôles de réception des données, et traitement automatisé piloté par l'IA des instructions de fonds fermés (appels de capital, valorisations mensuelles de NAV).</w:t>
      </w:r>
    </w:p>
    <w:p w14:paraId="38B20BAA" w14:textId="77777777" w:rsidR="007E13C3" w:rsidRDefault="00000000" w:rsidP="006D7B53">
      <w:pPr>
        <w:pStyle w:val="Listepuces"/>
        <w:spacing w:before="30" w:after="30"/>
        <w:ind w:hanging="180"/>
        <w:jc w:val="both"/>
      </w:pPr>
      <w:r>
        <w:rPr>
          <w:color w:val="262626"/>
        </w:rPr>
        <w:t xml:space="preserve">Réduction du cycle de clôture de </w:t>
      </w:r>
      <w:r>
        <w:rPr>
          <w:b/>
          <w:color w:val="262626"/>
        </w:rPr>
        <w:t>J+4 à J+2</w:t>
      </w:r>
      <w:r>
        <w:rPr>
          <w:color w:val="262626"/>
        </w:rPr>
        <w:t xml:space="preserve"> grâce à l'automatisation de bout en bout des processus et à l'architecture STP.</w:t>
      </w:r>
    </w:p>
    <w:p w14:paraId="21765359" w14:textId="77777777" w:rsidR="007E13C3" w:rsidRDefault="00000000" w:rsidP="006D7B53">
      <w:pPr>
        <w:pStyle w:val="Listepuces"/>
        <w:spacing w:before="30" w:after="30"/>
        <w:ind w:hanging="180"/>
        <w:jc w:val="both"/>
      </w:pPr>
      <w:r>
        <w:rPr>
          <w:color w:val="262626"/>
        </w:rPr>
        <w:t>Implémentation multi-modules : CW CORE (analytique de portefeuille), OMS/Jump (gestion des ordres), LPx (private equity) ; intégrations avec Bloomberg TSOX, Bloomberg Data License, CODA (GL), systèmes de reporting Solvency II.</w:t>
      </w:r>
    </w:p>
    <w:p w14:paraId="536847F6" w14:textId="77777777" w:rsidR="007E13C3" w:rsidRDefault="00000000" w:rsidP="006D7B53">
      <w:pPr>
        <w:pStyle w:val="Listepuces"/>
        <w:spacing w:before="30" w:after="30"/>
        <w:ind w:hanging="180"/>
        <w:jc w:val="both"/>
      </w:pPr>
      <w:r>
        <w:rPr>
          <w:color w:val="262626"/>
        </w:rPr>
        <w:t>Gouvernance de programme : comités de pilotage CxO (mensuels), RAID log (10+ risques critiques), SteerCo bilingue EN/FR ; pilotage du go-live OMS/Jump (Dec 2025) et de la période Hypercare complète ; gestion des UAT multi-phases et de l'onboarding du référentiel titres.</w:t>
      </w:r>
    </w:p>
    <w:p w14:paraId="629D7EE8" w14:textId="77777777" w:rsidR="007E13C3" w:rsidRDefault="007E13C3">
      <w:pPr>
        <w:pBdr>
          <w:bottom w:val="single" w:sz="4" w:space="1" w:color="D6E4F0"/>
        </w:pBdr>
        <w:spacing w:after="0" w:line="240" w:lineRule="auto"/>
      </w:pPr>
    </w:p>
    <w:p w14:paraId="4F1A829E" w14:textId="77777777" w:rsidR="007E13C3" w:rsidRDefault="00000000">
      <w:pPr>
        <w:spacing w:before="160" w:after="30"/>
      </w:pPr>
      <w:r>
        <w:rPr>
          <w:b/>
          <w:color w:val="1F3864"/>
          <w:sz w:val="21"/>
        </w:rPr>
        <w:t>Coface Group  —  Group Finance</w:t>
      </w:r>
      <w:r>
        <w:rPr>
          <w:color w:val="595959"/>
        </w:rPr>
        <w:t xml:space="preserve">  ·  May 2017 – May 2018  +  Jan 2020 – Oct 2024  (5 years)</w:t>
      </w:r>
    </w:p>
    <w:p w14:paraId="4711B64C" w14:textId="77777777" w:rsidR="007E13C3" w:rsidRDefault="00000000">
      <w:pPr>
        <w:spacing w:after="60"/>
      </w:pPr>
      <w:r>
        <w:rPr>
          <w:b/>
          <w:i/>
          <w:color w:val="2E75B6"/>
        </w:rPr>
        <w:t>Group Head of Investment Accounting  /  IFRS 9 Project Manager</w:t>
      </w:r>
    </w:p>
    <w:p w14:paraId="0D8B65B8" w14:textId="77777777" w:rsidR="007E13C3" w:rsidRDefault="00000000" w:rsidP="006D7B53">
      <w:pPr>
        <w:spacing w:before="80" w:after="20"/>
        <w:ind w:left="180"/>
        <w:jc w:val="both"/>
      </w:pPr>
      <w:r>
        <w:rPr>
          <w:b/>
          <w:color w:val="2E75B6"/>
        </w:rPr>
        <w:t>Group Head of Investment Accounting  (Jan 2023 – Oct 2024)</w:t>
      </w:r>
    </w:p>
    <w:p w14:paraId="37C9EABB" w14:textId="77777777" w:rsidR="007E13C3" w:rsidRDefault="00000000" w:rsidP="006D7B53">
      <w:pPr>
        <w:pStyle w:val="Listepuces"/>
        <w:spacing w:before="30" w:after="30"/>
        <w:ind w:hanging="180"/>
        <w:jc w:val="both"/>
      </w:pPr>
      <w:r>
        <w:rPr>
          <w:color w:val="262626"/>
        </w:rPr>
        <w:t xml:space="preserve">Direction de la fonction comptabilité des placements pour un </w:t>
      </w:r>
      <w:r>
        <w:rPr>
          <w:b/>
          <w:color w:val="262626"/>
        </w:rPr>
        <w:t>~€3bn group investment portfolio</w:t>
      </w:r>
      <w:r>
        <w:rPr>
          <w:color w:val="262626"/>
        </w:rPr>
        <w:t xml:space="preserve"> externalisé chez CACEIS (plateforme Neoxam GP3/GP4), couvrant </w:t>
      </w:r>
      <w:r>
        <w:rPr>
          <w:b/>
          <w:color w:val="262626"/>
        </w:rPr>
        <w:t>~20 international entities</w:t>
      </w:r>
      <w:r>
        <w:rPr>
          <w:color w:val="262626"/>
        </w:rPr>
        <w:t>.</w:t>
      </w:r>
    </w:p>
    <w:p w14:paraId="583EEC30" w14:textId="77777777" w:rsidR="007E13C3" w:rsidRDefault="00000000" w:rsidP="006D7B53">
      <w:pPr>
        <w:pStyle w:val="Listepuces"/>
        <w:spacing w:before="30" w:after="30"/>
        <w:ind w:hanging="180"/>
        <w:jc w:val="both"/>
      </w:pPr>
      <w:r>
        <w:rPr>
          <w:color w:val="262626"/>
        </w:rPr>
        <w:t xml:space="preserve">Industrialisation du </w:t>
      </w:r>
      <w:r>
        <w:rPr>
          <w:b/>
          <w:color w:val="262626"/>
        </w:rPr>
        <w:t>Record-to-Report process</w:t>
      </w:r>
      <w:r>
        <w:rPr>
          <w:color w:val="262626"/>
        </w:rPr>
        <w:t xml:space="preserve"> via un programme d'automatisation multi-outils : </w:t>
      </w:r>
      <w:r>
        <w:rPr>
          <w:b/>
          <w:color w:val="262626"/>
        </w:rPr>
        <w:t>Power Query</w:t>
      </w:r>
      <w:r>
        <w:rPr>
          <w:color w:val="262626"/>
        </w:rPr>
        <w:t xml:space="preserve"> pour les flux mensuels de données CACEIS (réconciliation comptable/gestion, réconciliation SAP/CACEIS, analyse FX, contrôles de variation de prix) ; </w:t>
      </w:r>
      <w:r>
        <w:rPr>
          <w:color w:val="262626"/>
        </w:rPr>
      </w:r>
      <w:r>
        <w:rPr>
          <w:b/>
          <w:color w:val="262626"/>
        </w:rPr>
        <w:t>VBA macros</w:t>
      </w:r>
      <w:r>
        <w:rPr>
          <w:color w:val="262626"/>
        </w:rPr>
        <w:t xml:space="preserve"> pour la conversion de format GP3→SAP YFI (2 fonds dédiés) ; </w:t>
      </w:r>
      <w:r>
        <w:rPr>
          <w:b/>
          <w:color w:val="262626"/>
        </w:rPr>
        <w:t>SAP FC Publisher</w:t>
      </w:r>
      <w:r>
        <w:rPr>
          <w:color w:val="262626"/>
        </w:rPr>
        <w:t xml:space="preserve"> pour l'automatisation des requêtes de consolidation BFC sur l'ensemble des entités.</w:t>
      </w:r>
    </w:p>
    <w:p w14:paraId="00F7C8A1" w14:textId="77777777" w:rsidR="007E13C3" w:rsidRDefault="00000000" w:rsidP="006D7B53">
      <w:pPr>
        <w:pStyle w:val="Listepuces"/>
        <w:spacing w:before="30" w:after="30"/>
        <w:ind w:hanging="180"/>
        <w:jc w:val="both"/>
      </w:pPr>
      <w:r>
        <w:rPr>
          <w:color w:val="262626"/>
        </w:rPr>
        <w:t xml:space="preserve">Automatisation des interfaces d'investissement SAP S/4HANA et de la chaîne de reporting SAP→SAP BFC, réduisant le délai de clôture de </w:t>
      </w:r>
      <w:r>
        <w:rPr>
          <w:b/>
          <w:color w:val="262626"/>
        </w:rPr>
        <w:t>D+5 to D+3</w:t>
      </w:r>
      <w:r>
        <w:rPr>
          <w:color w:val="262626"/>
        </w:rPr>
        <w:t xml:space="preserve"> et diminuant significativement la charge de travail manuelle sur l'ensemble des entités du groupe.</w:t>
      </w:r>
    </w:p>
    <w:p w14:paraId="3CD87E23" w14:textId="77777777" w:rsidR="007E13C3" w:rsidRDefault="00000000" w:rsidP="006D7B53">
      <w:pPr>
        <w:pStyle w:val="Listepuces"/>
        <w:spacing w:before="30" w:after="30"/>
        <w:ind w:hanging="180"/>
        <w:jc w:val="both"/>
      </w:pPr>
      <w:r>
        <w:rPr>
          <w:color w:val="262626"/>
        </w:rPr>
        <w:t xml:space="preserve">Livraison d'un tableau de bord consolidé </w:t>
      </w:r>
      <w:r>
        <w:rPr>
          <w:b/>
          <w:color w:val="262626"/>
        </w:rPr>
        <w:t>Power BI</w:t>
      </w:r>
      <w:r>
        <w:rPr>
          <w:color w:val="262626"/>
        </w:rPr>
        <w:t xml:space="preserve"> des placements pour le reporting CXO, en remplacement des processus de reporting manuels.</w:t>
      </w:r>
    </w:p>
    <w:p w14:paraId="3D96471A" w14:textId="77777777" w:rsidR="007E13C3" w:rsidRDefault="00000000">
      <w:pPr>
        <w:spacing w:before="80" w:after="20"/>
        <w:ind w:left="180"/>
      </w:pPr>
      <w:r>
        <w:rPr>
          <w:b/>
          <w:color w:val="2E75B6"/>
        </w:rPr>
        <w:t>IFRS 9 Project Manager  (Jan 2020 – Dec 2022)</w:t>
      </w:r>
    </w:p>
    <w:p w14:paraId="49328184" w14:textId="77777777" w:rsidR="007E13C3" w:rsidRDefault="00000000" w:rsidP="006D7B53">
      <w:pPr>
        <w:pStyle w:val="Listepuces"/>
        <w:spacing w:before="30" w:after="30"/>
        <w:ind w:hanging="180"/>
        <w:jc w:val="both"/>
      </w:pPr>
      <w:r>
        <w:rPr>
          <w:color w:val="262626"/>
        </w:rPr>
        <w:t>Direction des chantiers Finance de l'implémentation IFRS 9 de Coface — comptabilité des placements, modèle de provisionnement ECL, migration de données et refonte du processus de clôture.</w:t>
      </w:r>
    </w:p>
    <w:p w14:paraId="319F9353" w14:textId="77777777" w:rsidR="007E13C3" w:rsidRDefault="00000000" w:rsidP="006D7B53">
      <w:pPr>
        <w:pStyle w:val="Listepuces"/>
        <w:spacing w:before="30" w:after="30"/>
        <w:ind w:hanging="180"/>
        <w:jc w:val="both"/>
      </w:pPr>
      <w:r>
        <w:rPr>
          <w:color w:val="262626"/>
        </w:rPr>
        <w:t xml:space="preserve">Conception du </w:t>
      </w:r>
      <w:r>
        <w:rPr>
          <w:b/>
          <w:color w:val="262626"/>
        </w:rPr>
        <w:t>ECL (Expected Credit Loss) model</w:t>
      </w:r>
      <w:r>
        <w:rPr>
          <w:color w:val="262626"/>
        </w:rPr>
        <w:t xml:space="preserve"> de bout en bout : méthodologie basée sur des matrices de risque externes, implémentée sous </w:t>
      </w:r>
      <w:r>
        <w:rPr>
          <w:b/>
          <w:color w:val="262626"/>
        </w:rPr>
        <w:t>SAS</w:t>
      </w:r>
      <w:r>
        <w:rPr>
          <w:color w:val="262626"/>
        </w:rPr>
        <w:t>, Finance en tant que propriétaire unique. Mise en place d'une analyse mensuelle des écarts en post-production. Pilotage des phases UAT et de preuve de concept.</w:t>
      </w:r>
    </w:p>
    <w:p w14:paraId="51E39FFB" w14:textId="77777777" w:rsidR="007E13C3" w:rsidRDefault="00000000" w:rsidP="006D7B53">
      <w:pPr>
        <w:pStyle w:val="Listepuces"/>
        <w:spacing w:before="30" w:after="30"/>
        <w:ind w:hanging="180"/>
        <w:jc w:val="both"/>
      </w:pPr>
      <w:r>
        <w:rPr>
          <w:color w:val="262626"/>
        </w:rPr>
        <w:t>Validation des schémas comptables de transition ; refonte du calendrier de clôture sous IFRS 9 ; développement d'outils de contrôle automatisés.</w:t>
      </w:r>
    </w:p>
    <w:p w14:paraId="247D4F4E" w14:textId="77777777" w:rsidR="007E13C3" w:rsidRDefault="00000000">
      <w:pPr>
        <w:spacing w:before="80" w:after="20"/>
        <w:ind w:left="180"/>
      </w:pPr>
      <w:r>
        <w:rPr>
          <w:b/>
          <w:color w:val="2E75B6"/>
        </w:rPr>
        <w:t>First assignment  (May 2017 – May 2018)</w:t>
      </w:r>
    </w:p>
    <w:p w14:paraId="7658251F" w14:textId="0F71ED33" w:rsidR="007E13C3" w:rsidRPr="006D7B53" w:rsidRDefault="00000000">
      <w:pPr>
        <w:pStyle w:val="Listepuces"/>
        <w:spacing w:before="30" w:after="30"/>
        <w:ind w:hanging="180"/>
      </w:pPr>
      <w:r>
        <w:rPr>
          <w:color w:val="262626"/>
        </w:rPr>
        <w:t>Head of Technical Accounting — production de la comptabilité des placements, reporting réglementaire, refonte du TOM.</w:t>
      </w:r>
      <w:r w:rsidR="006D7B53">
        <w:rPr>
          <w:color w:val="262626"/>
        </w:rPr>
      </w:r>
      <w:r>
        <w:rPr>
          <w:color w:val="262626"/>
        </w:rPr>
      </w:r>
    </w:p>
    <w:p w14:paraId="08656896" w14:textId="6DD0E8A6" w:rsidR="006D7B53" w:rsidRDefault="006D7B53">
      <w:pPr>
        <w:pStyle w:val="Listepuces"/>
        <w:spacing w:before="30" w:after="30"/>
        <w:ind w:hanging="180"/>
      </w:pPr>
      <w:r>
        <w:t>Conception d'une plateforme de données d'investissement partagée sous SAS, couvrant le sourcing des données, l'architecture du modèle de données, les contrôles qualité, la gouvernance des données et le reporting de gestion ; cette plateforme a servi de socle à l'ensemble des travaux d'analytique investissement ultérieurs, y compris le modèle ECL IFRS 9 déployé en 2020.</w:t>
      </w:r>
      <w:r w:rsidR="00C97B35"/>
    </w:p>
    <w:p w14:paraId="2E950289" w14:textId="77777777" w:rsidR="007E13C3" w:rsidRDefault="007E13C3">
      <w:pPr>
        <w:pBdr>
          <w:bottom w:val="single" w:sz="4" w:space="1" w:color="D6E4F0"/>
        </w:pBdr>
        <w:spacing w:after="0" w:line="240" w:lineRule="auto"/>
      </w:pPr>
    </w:p>
    <w:p w14:paraId="258F0761" w14:textId="77777777" w:rsidR="007E13C3" w:rsidRDefault="00000000">
      <w:pPr>
        <w:spacing w:before="160" w:after="30"/>
      </w:pPr>
      <w:r>
        <w:rPr>
          <w:b/>
          <w:color w:val="1F3864"/>
          <w:sz w:val="21"/>
        </w:rPr>
        <w:t>AXA XL  —  P&amp;C Finance</w:t>
      </w:r>
      <w:r>
        <w:rPr>
          <w:color w:val="595959"/>
        </w:rPr>
        <w:t xml:space="preserve">  ·  May 2018 – Jul 2019  (15 months)</w:t>
      </w:r>
    </w:p>
    <w:p w14:paraId="7B1AE442" w14:textId="77777777" w:rsidR="007E13C3" w:rsidRDefault="00000000">
      <w:pPr>
        <w:spacing w:after="60"/>
      </w:pPr>
      <w:r>
        <w:rPr>
          <w:b/>
          <w:i/>
          <w:color w:val="2E75B6"/>
        </w:rPr>
        <w:t>Finance Stream Leader — IFRS 9 / IFRS 17 / Solvency II</w:t>
      </w:r>
    </w:p>
    <w:p w14:paraId="51B3B7E1" w14:textId="77777777" w:rsidR="007E13C3" w:rsidRDefault="00000000" w:rsidP="001A51F6">
      <w:pPr>
        <w:pStyle w:val="Listepuces"/>
        <w:spacing w:before="30" w:after="30"/>
        <w:ind w:hanging="180"/>
        <w:jc w:val="both"/>
      </w:pPr>
      <w:r>
        <w:rPr>
          <w:color w:val="262626"/>
        </w:rPr>
        <w:t>A dirigé l'évaluation d'impact Finance et les chantiers de mise en œuvre pour une transformation combinée IFRS 9, IFRS 17 et Solvabilité II au sein d'une entité AXA P&amp;C.</w:t>
      </w:r>
    </w:p>
    <w:p w14:paraId="76A20EF9" w14:textId="77777777" w:rsidR="007E13C3" w:rsidRDefault="00000000" w:rsidP="001A51F6">
      <w:pPr>
        <w:pStyle w:val="Listepuces"/>
        <w:spacing w:before="30" w:after="30"/>
        <w:ind w:hanging="180"/>
        <w:jc w:val="both"/>
      </w:pPr>
      <w:r>
        <w:rPr>
          <w:color w:val="262626"/>
        </w:rPr>
        <w:t>IFRS 17 : confirmation de l'</w:t>
      </w:r>
      <w:r>
        <w:rPr>
          <w:b/>
          <w:color w:val="262626"/>
        </w:rPr>
        <w:t>PAA (Premium Allocation Approach)</w:t>
      </w:r>
      <w:r>
        <w:rPr>
          <w:color w:val="262626"/>
        </w:rPr>
        <w:t xml:space="preserve"> éligibilité sur l'ensemble des familles de contrats (couverture ≤ 1 an). Réalisation d'un dry-run de clôture IFRS 17 au 31 Dec 2017 à l'aide d'un </w:t>
      </w:r>
      <w:r>
        <w:rPr>
          <w:b/>
          <w:color w:val="262626"/>
        </w:rPr>
        <w:t>modèle interne SAS</w:t>
      </w:r>
      <w:r>
        <w:rPr>
          <w:color w:val="262626"/>
        </w:rPr>
        <w:t xml:space="preserve"> (dérivé du modèle Groupe AXA) : quantification d'un ajustement de transition des capitaux propres d'environ ~25m€ et d'une variance de ratio combiné d'environ ~1,5pt sur </w:t>
      </w:r>
      <w:r>
        <w:rPr>
          <w:b/>
          <w:color w:val="262626"/>
        </w:rPr>
        <w:t>8 lines of business</w:t>
      </w:r>
      <w:r>
        <w:rPr>
          <w:color w:val="262626"/>
        </w:rPr>
        <w:t>.</w:t>
      </w:r>
    </w:p>
    <w:p w14:paraId="4225574D" w14:textId="77777777" w:rsidR="007E13C3" w:rsidRDefault="00000000" w:rsidP="001A51F6">
      <w:pPr>
        <w:pStyle w:val="Listepuces"/>
        <w:spacing w:before="30" w:after="30"/>
        <w:ind w:hanging="180"/>
        <w:jc w:val="both"/>
      </w:pPr>
      <w:r>
        <w:rPr>
          <w:color w:val="262626"/>
        </w:rPr>
        <w:t>Définition du Target Operating Model : organisation, processus, outils comptables et architecture de reporting sous les nouvelles normes.</w:t>
      </w:r>
    </w:p>
    <w:p w14:paraId="2D92ED94" w14:textId="74B90377" w:rsidR="007E13C3" w:rsidRDefault="00000000" w:rsidP="001A51F6">
      <w:pPr>
        <w:pStyle w:val="Listepuces"/>
        <w:spacing w:before="30" w:after="30"/>
        <w:ind w:hanging="180"/>
        <w:jc w:val="both"/>
      </w:pPr>
      <w:r>
        <w:rPr>
          <w:color w:val="262626"/>
        </w:rPr>
        <w:t>Supervision du reporting QRT Solvabilité II (</w:t>
      </w:r>
      <w:r>
        <w:rPr>
          <w:b/>
          <w:color w:val="262626"/>
        </w:rPr>
        <w:t>Invoke</w:t>
      </w:r>
      <w:r>
        <w:rPr>
          <w:color w:val="262626"/>
        </w:rPr>
        <w:t>) ; contribution aux livrables ORSA, RSR et SFCR. Co-animation des comités de pilotage ; coordination Finance, Actuariat, Risques, Réassurance, IT et audit externe.</w:t>
      </w:r>
    </w:p>
    <w:p w14:paraId="78B120FA" w14:textId="77777777" w:rsidR="007E13C3" w:rsidRDefault="007E13C3">
      <w:pPr>
        <w:pBdr>
          <w:bottom w:val="single" w:sz="4" w:space="1" w:color="D6E4F0"/>
        </w:pBdr>
        <w:spacing w:after="0" w:line="240" w:lineRule="auto"/>
      </w:pPr>
    </w:p>
    <w:p w14:paraId="3E4B0B56" w14:textId="77777777" w:rsidR="007E13C3" w:rsidRDefault="00000000">
      <w:pPr>
        <w:spacing w:before="160" w:after="30"/>
      </w:pPr>
      <w:r>
        <w:rPr>
          <w:b/>
          <w:color w:val="1F3864"/>
          <w:sz w:val="21"/>
        </w:rPr>
        <w:t>CNP Assurances</w:t>
      </w:r>
      <w:r>
        <w:rPr>
          <w:color w:val="595959"/>
        </w:rPr>
        <w:t xml:space="preserve">  ·  May 2013 – May 2018  (5 years)</w:t>
      </w:r>
    </w:p>
    <w:p w14:paraId="5FFEA71A" w14:textId="77777777" w:rsidR="007E13C3" w:rsidRDefault="00000000">
      <w:pPr>
        <w:spacing w:after="60"/>
      </w:pPr>
      <w:r>
        <w:rPr>
          <w:b/>
          <w:i/>
          <w:color w:val="2E75B6"/>
        </w:rPr>
        <w:t>Lead Business Owner — SimCorp Dimension  /  Responsable de la Production Financière et Solvabilité II</w:t>
      </w:r>
    </w:p>
    <w:p w14:paraId="475D6783" w14:textId="77777777" w:rsidR="007E13C3" w:rsidRDefault="00000000" w:rsidP="001A51F6">
      <w:pPr>
        <w:pStyle w:val="Listepuces"/>
        <w:spacing w:before="30" w:after="30"/>
        <w:ind w:hanging="180"/>
        <w:jc w:val="both"/>
      </w:pPr>
      <w:r>
        <w:rPr>
          <w:color w:val="262626"/>
        </w:rPr>
        <w:t xml:space="preserve">Lead Business Owner pour l'implémentation de </w:t>
      </w:r>
      <w:r>
        <w:rPr>
          <w:b/>
          <w:color w:val="262626"/>
        </w:rPr>
        <w:t>SimCorp Dimension</w:t>
      </w:r>
      <w:r>
        <w:rPr>
          <w:color w:val="262626"/>
        </w:rPr>
        <w:t xml:space="preserve"> chez l'un des plus grands assureurs vie français — couvrant </w:t>
      </w:r>
      <w:r>
        <w:rPr>
          <w:b/>
          <w:color w:val="262626"/>
        </w:rPr>
        <w:t>~350Md€ d'actifs sous gestion</w:t>
      </w:r>
      <w:r>
        <w:rPr>
          <w:color w:val="262626"/>
        </w:rPr>
        <w:t>, l'une des plus importantes implémentations SimCorp en Europe.</w:t>
      </w:r>
    </w:p>
    <w:p w14:paraId="6558E8F9" w14:textId="77777777" w:rsidR="007E13C3" w:rsidRDefault="00000000" w:rsidP="001A51F6">
      <w:pPr>
        <w:pStyle w:val="Listepuces"/>
        <w:spacing w:before="30" w:after="30"/>
        <w:ind w:hanging="180"/>
        <w:jc w:val="both"/>
      </w:pPr>
      <w:r>
        <w:rPr>
          <w:color w:val="262626"/>
        </w:rPr>
        <w:t>Pilotage de l'ensemble du chantier métier : conception fonctionnelle, écritures comptables (unités de compte, taux, actions), contrôles, architecture de reporting Solvabilité II, tests, migration des données et préparation du go-live.</w:t>
      </w:r>
    </w:p>
    <w:p w14:paraId="1EEE973D" w14:textId="77777777" w:rsidR="007E13C3" w:rsidRDefault="00000000" w:rsidP="001A51F6">
      <w:pPr>
        <w:pStyle w:val="Listepuces"/>
        <w:spacing w:before="30" w:after="30"/>
        <w:ind w:hanging="180"/>
        <w:jc w:val="both"/>
      </w:pPr>
      <w:r>
        <w:rPr>
          <w:color w:val="262626"/>
        </w:rPr>
        <w:t xml:space="preserve">Responsable de la Production Financière et de l'Unité Solvabilité II (May–Dec 2013) : management d'une équipe de 5 personnes. Amélioration significative du </w:t>
      </w:r>
      <w:r>
        <w:rPr>
          <w:b/>
          <w:color w:val="262626"/>
        </w:rPr>
        <w:t>modèle de prévision de résultat (P&amp;L Forecast)</w:t>
      </w:r>
      <w:r>
        <w:rPr>
          <w:color w:val="262626"/>
        </w:rPr>
        <w:t xml:space="preserve"> — introduction d'hypothèses de réinvestissement obligataire (duration/taux), modélisation de l'inflation pour les obligations indexées, hypothèses de rendement actions ; extension du périmètre de prévision au private equity, à l'immobilier et aux actifs fonciers. Initiation de la feuille de route de migration des outils historiques </w:t>
      </w:r>
      <w:r>
        <w:rPr>
          <w:b/>
          <w:color w:val="262626"/>
        </w:rPr>
        <w:t>Access</w:t>
      </w:r>
      <w:r>
        <w:rPr>
          <w:color w:val="262626"/>
        </w:rPr>
        <w:t xml:space="preserve"> vers </w:t>
      </w:r>
      <w:r>
        <w:rPr>
          <w:b/>
          <w:color w:val="262626"/>
        </w:rPr>
        <w:t>SAS</w:t>
      </w:r>
      <w:r>
        <w:rPr>
          <w:color w:val="262626"/>
        </w:rPr>
        <w:t xml:space="preserve"> (moteur de calcul) et </w:t>
      </w:r>
      <w:r>
        <w:rPr>
          <w:b/>
          <w:color w:val="262626"/>
        </w:rPr>
        <w:t>QlikView</w:t>
      </w:r>
      <w:r>
        <w:rPr>
          <w:color w:val="262626"/>
        </w:rPr>
        <w:t xml:space="preserve"> (tableaux de bord de gestion).</w:t>
      </w:r>
    </w:p>
    <w:p w14:paraId="422CBF86" w14:textId="77777777" w:rsidR="007E13C3" w:rsidRDefault="00000000" w:rsidP="001A51F6">
      <w:pPr>
        <w:pStyle w:val="Listepuces"/>
        <w:spacing w:before="30" w:after="30"/>
        <w:ind w:hanging="180"/>
        <w:jc w:val="both"/>
      </w:pPr>
      <w:r>
        <w:rPr>
          <w:color w:val="262626"/>
        </w:rPr>
        <w:t>Accompagnement de l'initiative Fast Close ; référent sur les chantiers comptables : cut-off, portefeuilles unités de compte, réconciliation comptable/gestion.</w:t>
      </w:r>
    </w:p>
    <w:p w14:paraId="49BC52A4" w14:textId="77777777" w:rsidR="007E13C3" w:rsidRDefault="007E13C3">
      <w:pPr>
        <w:pBdr>
          <w:bottom w:val="single" w:sz="4" w:space="1" w:color="D6E4F0"/>
        </w:pBdr>
        <w:spacing w:after="0" w:line="240" w:lineRule="auto"/>
      </w:pPr>
    </w:p>
    <w:p w14:paraId="22993E9A" w14:textId="77777777" w:rsidR="00C97B35" w:rsidRDefault="00C97B35">
      <w:pPr>
        <w:rPr>
          <w:b/>
          <w:color w:val="1F3864"/>
          <w:sz w:val="21"/>
        </w:rPr>
      </w:pPr>
      <w:r>
        <w:rPr>
          <w:b/>
          <w:color w:val="1F3864"/>
          <w:sz w:val="21"/>
        </w:rPr>
        <w:br w:type="page"/>
      </w:r>
    </w:p>
    <w:p w14:paraId="58BB4B0C" w14:textId="027A22E4" w:rsidR="007E13C3" w:rsidRDefault="00000000">
      <w:pPr>
        <w:spacing w:before="160" w:after="30"/>
      </w:pPr>
      <w:proofErr w:type="spellStart"/>
      <w:r>
        <w:rPr>
          <w:b/>
          <w:color w:val="1F3864"/>
          <w:sz w:val="21"/>
        </w:rPr>
        <w:t>Primexis  —  CFO Advisory  /  SCOR Investment Partners</w:t>
      </w:r>
      <w:proofErr w:type="spellEnd"/>
      <w:r>
        <w:rPr>
          <w:b/>
          <w:color w:val="1F3864"/>
          <w:sz w:val="21"/>
        </w:rPr>
      </w:r>
      <w:r>
        <w:rPr>
          <w:color w:val="595959"/>
        </w:rPr>
        <w:t xml:space="preserve">  ·  Oct 2008 – Apr 2013  (4.5 years)</w:t>
      </w:r>
    </w:p>
    <w:p w14:paraId="243AF3A9" w14:textId="77777777" w:rsidR="007E13C3" w:rsidRDefault="00000000">
      <w:pPr>
        <w:spacing w:after="60"/>
      </w:pPr>
      <w:r>
        <w:rPr>
          <w:b/>
          <w:i/>
          <w:color w:val="2E75B6"/>
        </w:rPr>
        <w:t>Directeur Associé — Practice Assurance  /  SimCorp PM chez SCOR Investment Partners</w:t>
      </w:r>
    </w:p>
    <w:p w14:paraId="21FE93AE" w14:textId="77777777" w:rsidR="001A51F6" w:rsidRPr="001A51F6" w:rsidRDefault="00000000" w:rsidP="001A51F6">
      <w:pPr>
        <w:pStyle w:val="Listepuces"/>
        <w:spacing w:before="30" w:after="30"/>
        <w:ind w:hanging="180"/>
        <w:jc w:val="both"/>
      </w:pPr>
      <w:r>
        <w:rPr>
          <w:color w:val="262626"/>
        </w:rPr>
        <w:t xml:space="preserve">En parallèle, Chef de Projet SimCorp Dimension chez SCOR Investment Partners (Nov 2008 – May 2012, 3.5 years) : </w:t>
      </w:r>
    </w:p>
    <w:p w14:paraId="04A26E3E" w14:textId="4EA4C3F6" w:rsidR="007E13C3" w:rsidRDefault="00000000" w:rsidP="001A51F6">
      <w:pPr>
        <w:pStyle w:val="Listepuces"/>
        <w:numPr>
          <w:ilvl w:val="0"/>
          <w:numId w:val="10"/>
        </w:numPr>
        <w:spacing w:before="30" w:after="30"/>
        <w:ind w:left="993"/>
        <w:jc w:val="both"/>
      </w:pPr>
      <w:r>
        <w:rPr>
          <w:color w:val="262626"/>
        </w:rPr>
        <w:t xml:space="preserve">pilotage de la migration depuis </w:t>
      </w:r>
      <w:r>
        <w:rPr>
          <w:b/>
          <w:color w:val="262626"/>
        </w:rPr>
        <w:t>Linedata Chorus</w:t>
      </w:r>
      <w:r>
        <w:rPr>
          <w:color w:val="262626"/>
        </w:rPr>
        <w:t xml:space="preserve"> (MO/BO/comptabilité) vers </w:t>
      </w:r>
      <w:r>
        <w:rPr>
          <w:b/>
          <w:color w:val="262626"/>
        </w:rPr>
        <w:t>SimCorp Dimension</w:t>
      </w:r>
      <w:r>
        <w:rPr>
          <w:color w:val="262626"/>
        </w:rPr>
        <w:t xml:space="preserve"> au Siège et dans les entités à l'étranger — </w:t>
      </w:r>
      <w:r>
        <w:rPr>
          <w:b/>
          <w:color w:val="262626"/>
        </w:rPr>
        <w:t>20 Mds € d'AUM</w:t>
      </w:r>
      <w:r>
        <w:rPr>
          <w:color w:val="262626"/>
        </w:rPr>
        <w:t>, équipe de 12 personnes. Bloomberg maintenu comme système FO avec intégration complète SimCorp.</w:t>
      </w:r>
    </w:p>
    <w:p w14:paraId="666BFDD0" w14:textId="77777777" w:rsidR="007E13C3" w:rsidRDefault="00000000" w:rsidP="001A51F6">
      <w:pPr>
        <w:pStyle w:val="Listepuces"/>
        <w:numPr>
          <w:ilvl w:val="0"/>
          <w:numId w:val="10"/>
        </w:numPr>
        <w:spacing w:before="30" w:after="30"/>
        <w:ind w:left="993"/>
        <w:jc w:val="both"/>
      </w:pPr>
      <w:r>
        <w:rPr>
          <w:color w:val="262626"/>
        </w:rPr>
        <w:t xml:space="preserve">Conception et mise en œuvre </w:t>
      </w:r>
      <w:r>
        <w:rPr>
          <w:b/>
          <w:color w:val="262626"/>
        </w:rPr>
        <w:t>de l'automatisation du look-through</w:t>
      </w:r>
      <w:r>
        <w:rPr>
          <w:color w:val="262626"/>
        </w:rPr>
        <w:t xml:space="preserve"> pour les fonds UCITS dédiés : consolidation automatisée des actifs sous-jacents, calculs de sensibilité et transparisation Solvabilité II — éliminant les processus de retraitement manuel.</w:t>
      </w:r>
    </w:p>
    <w:p w14:paraId="57F504BB" w14:textId="77777777" w:rsidR="007E13C3" w:rsidRDefault="00000000" w:rsidP="001A51F6">
      <w:pPr>
        <w:pStyle w:val="Listepuces"/>
        <w:numPr>
          <w:ilvl w:val="0"/>
          <w:numId w:val="10"/>
        </w:numPr>
        <w:spacing w:before="30" w:after="30"/>
        <w:ind w:left="993"/>
        <w:jc w:val="both"/>
      </w:pPr>
      <w:r>
        <w:rPr>
          <w:color w:val="262626"/>
        </w:rPr>
        <w:t>Pilotage de la migration du portefeuille US incluant les produits structurés ; définition du reporting réglementaire AMF et restructuration des succursales pour les filiales étrangères.</w:t>
      </w:r>
    </w:p>
    <w:p w14:paraId="6DC3508C" w14:textId="77777777" w:rsidR="007E13C3" w:rsidRDefault="00000000" w:rsidP="001A51F6">
      <w:pPr>
        <w:pStyle w:val="Listepuces"/>
        <w:spacing w:before="30" w:after="30"/>
        <w:ind w:hanging="180"/>
        <w:jc w:val="both"/>
      </w:pPr>
      <w:r>
        <w:rPr>
          <w:color w:val="262626"/>
        </w:rPr>
        <w:t>En tant que Directeur Associé chez Primexis : construction d'</w:t>
      </w:r>
      <w:r>
        <w:rPr>
          <w:b/>
          <w:color w:val="262626"/>
        </w:rPr>
        <w:t>une practice Assurance de 20 consultants</w:t>
      </w:r>
      <w:r>
        <w:rPr>
          <w:color w:val="262626"/>
        </w:rPr>
        <w:t xml:space="preserve"> générant </w:t>
      </w:r>
      <w:r>
        <w:rPr>
          <w:b/>
          <w:color w:val="262626"/>
        </w:rPr>
        <w:t>3 M€ de chiffre d'affaires annuel</w:t>
      </w:r>
      <w:r>
        <w:rPr>
          <w:color w:val="262626"/>
        </w:rPr>
        <w:t xml:space="preserve"> auprès de 10 clients. Membre du Comité de Direction.</w:t>
      </w:r>
    </w:p>
    <w:p w14:paraId="78F60A29" w14:textId="77777777" w:rsidR="007E13C3" w:rsidRDefault="007E13C3">
      <w:pPr>
        <w:pBdr>
          <w:bottom w:val="single" w:sz="4" w:space="1" w:color="D6E4F0"/>
        </w:pBdr>
        <w:spacing w:after="0" w:line="240" w:lineRule="auto"/>
      </w:pPr>
    </w:p>
    <w:p w14:paraId="11F0B81D" w14:textId="77777777" w:rsidR="007E13C3" w:rsidRDefault="00000000">
      <w:pPr>
        <w:spacing w:before="160" w:after="30"/>
      </w:pPr>
      <w:r>
        <w:rPr>
          <w:b/>
          <w:color w:val="1F3864"/>
          <w:sz w:val="21"/>
        </w:rPr>
        <w:t>SCOR  —  Direction des Investissements</w:t>
      </w:r>
      <w:r>
        <w:rPr>
          <w:color w:val="595959"/>
        </w:rPr>
        <w:t xml:space="preserve">  ·  Oct. 2005 – Sept. 2008  (3 ans)</w:t>
      </w:r>
    </w:p>
    <w:p w14:paraId="5AD3F5B1" w14:textId="77777777" w:rsidR="007E13C3" w:rsidRDefault="00000000">
      <w:pPr>
        <w:spacing w:after="60"/>
      </w:pPr>
      <w:r>
        <w:rPr>
          <w:b/>
          <w:i/>
          <w:color w:val="2E75B6"/>
        </w:rPr>
        <w:t>Responsable des Projets de Transformation  /  Responsable de la Consolidation Groupe</w:t>
      </w:r>
    </w:p>
    <w:p w14:paraId="10857A3E" w14:textId="77777777" w:rsidR="007E13C3" w:rsidRDefault="00000000" w:rsidP="001A51F6">
      <w:pPr>
        <w:pStyle w:val="Listepuces"/>
        <w:spacing w:before="30" w:after="30"/>
        <w:ind w:hanging="180"/>
        <w:jc w:val="both"/>
      </w:pPr>
      <w:r>
        <w:rPr>
          <w:color w:val="262626"/>
        </w:rPr>
        <w:t xml:space="preserve">Conseil du COO Investissements ; pilotage de la transformation de la direction des investissements de SCOR en une structure d'asset management autonome — remplaçant un environnement fragmenté </w:t>
      </w:r>
      <w:r>
        <w:rPr>
          <w:b/>
          <w:color w:val="262626"/>
        </w:rPr>
        <w:t>Bloomberg (FO) + Linedata Chorus (MO/BO/comptabilité)</w:t>
      </w:r>
      <w:r>
        <w:rPr>
          <w:color w:val="262626"/>
        </w:rPr>
        <w:t xml:space="preserve"> par une plateforme intégrée de bout en bout, du front-office à la comptabilité.</w:t>
      </w:r>
    </w:p>
    <w:p w14:paraId="6BAF686C" w14:textId="77777777" w:rsidR="007E13C3" w:rsidRDefault="00000000" w:rsidP="001A51F6">
      <w:pPr>
        <w:pStyle w:val="Listepuces"/>
        <w:spacing w:before="30" w:after="30"/>
        <w:ind w:hanging="180"/>
        <w:jc w:val="both"/>
      </w:pPr>
      <w:r>
        <w:rPr>
          <w:color w:val="262626"/>
        </w:rPr>
        <w:t xml:space="preserve">Pilotage des RFI/RFP pour la plateforme d'investissement et l'outil d'attribution de performance ; gestion de la sélection et de la gouvernance d'implémentation </w:t>
      </w:r>
      <w:r>
        <w:rPr>
          <w:b/>
          <w:color w:val="262626"/>
        </w:rPr>
        <w:t>SimCorp Dimension</w:t>
      </w:r>
      <w:r>
        <w:rPr>
          <w:color w:val="262626"/>
        </w:rPr>
        <w:t xml:space="preserve">. Budget projet : </w:t>
      </w:r>
      <w:r>
        <w:rPr>
          <w:b/>
          <w:color w:val="262626"/>
        </w:rPr>
        <w:t>3 M€/an</w:t>
      </w:r>
      <w:r>
        <w:rPr>
          <w:color w:val="262626"/>
        </w:rPr>
        <w:t>.</w:t>
      </w:r>
    </w:p>
    <w:p w14:paraId="4345F783" w14:textId="77777777" w:rsidR="007E13C3" w:rsidRDefault="00000000" w:rsidP="001A51F6">
      <w:pPr>
        <w:pStyle w:val="Listepuces"/>
        <w:spacing w:before="30" w:after="30"/>
        <w:ind w:hanging="180"/>
        <w:jc w:val="both"/>
      </w:pPr>
      <w:r>
        <w:rPr>
          <w:color w:val="262626"/>
        </w:rPr>
        <w:t>Responsable de la Consolidation Groupe et des Normes Comptables (Oct. 2005 – Juil. 2006) : reporting consolidé trimestriel IFRS et annuel US GAAP ; définition de la politique comptable Groupe ; équipe de 5 personnes.</w:t>
      </w:r>
    </w:p>
    <w:p w14:paraId="6E35353A" w14:textId="77777777" w:rsidR="007E13C3" w:rsidRDefault="007E13C3">
      <w:pPr>
        <w:pBdr>
          <w:bottom w:val="single" w:sz="4" w:space="1" w:color="D6E4F0"/>
        </w:pBdr>
        <w:spacing w:after="0" w:line="240" w:lineRule="auto"/>
      </w:pPr>
    </w:p>
    <w:p w14:paraId="0A47EDB5" w14:textId="77777777" w:rsidR="007E13C3" w:rsidRDefault="00000000">
      <w:pPr>
        <w:spacing w:before="160" w:after="30"/>
      </w:pPr>
      <w:r>
        <w:rPr>
          <w:b/>
          <w:color w:val="1F3864"/>
          <w:sz w:val="21"/>
        </w:rPr>
        <w:t>Coface  —  Finance Groupe</w:t>
      </w:r>
      <w:r>
        <w:rPr>
          <w:color w:val="595959"/>
        </w:rPr>
        <w:t xml:space="preserve">  ·  Mai 2004 – Oct. 2005  (18 mois)</w:t>
      </w:r>
    </w:p>
    <w:p w14:paraId="0476E0FF" w14:textId="77777777" w:rsidR="007E13C3" w:rsidRDefault="00000000">
      <w:pPr>
        <w:spacing w:after="60"/>
      </w:pPr>
      <w:r>
        <w:rPr>
          <w:b/>
          <w:i/>
          <w:color w:val="2E75B6"/>
        </w:rPr>
        <w:t>Responsable de la Comptabilité Technique et du Provisionnement</w:t>
      </w:r>
    </w:p>
    <w:p w14:paraId="5FA23881" w14:textId="77777777" w:rsidR="007E13C3" w:rsidRDefault="00000000" w:rsidP="001A51F6">
      <w:pPr>
        <w:pStyle w:val="Listepuces"/>
        <w:spacing w:before="30" w:after="30"/>
        <w:ind w:hanging="180"/>
        <w:jc w:val="both"/>
      </w:pPr>
      <w:r>
        <w:rPr>
          <w:color w:val="262626"/>
        </w:rPr>
        <w:t xml:space="preserve">Conception et mise en œuvre de la </w:t>
      </w:r>
      <w:r>
        <w:rPr>
          <w:b/>
          <w:color w:val="262626"/>
        </w:rPr>
        <w:t>méthodologie de provisionnement stochastique Bornhuetter-Ferguson</w:t>
      </w:r>
      <w:r>
        <w:rPr>
          <w:color w:val="262626"/>
        </w:rPr>
        <w:t xml:space="preserve"> — remplaçant l'estimation manuelle par un modèle quantitatif structuré. Coordination des parties prenantes comptables, actuarielles et opérationnelles ; accélération du processus de clôture.</w:t>
      </w:r>
    </w:p>
    <w:p w14:paraId="6D5E8A99" w14:textId="77777777" w:rsidR="007E13C3" w:rsidRDefault="00000000" w:rsidP="001A51F6">
      <w:pPr>
        <w:pStyle w:val="Listepuces"/>
        <w:spacing w:before="30" w:after="30"/>
        <w:ind w:hanging="180"/>
        <w:jc w:val="both"/>
      </w:pPr>
      <w:r>
        <w:rPr>
          <w:color w:val="262626"/>
        </w:rPr>
        <w:t>Comptabilité des placements, comptabilité technique d'assurance ; réconciliations intercompagnies ; coordination Finance Groupe.</w:t>
      </w:r>
    </w:p>
    <w:p w14:paraId="5EF7F256" w14:textId="77777777" w:rsidR="007E13C3" w:rsidRDefault="007E13C3" w:rsidP="001A51F6">
      <w:pPr>
        <w:pBdr>
          <w:bottom w:val="single" w:sz="4" w:space="1" w:color="D6E4F0"/>
        </w:pBdr>
        <w:spacing w:after="0" w:line="240" w:lineRule="auto"/>
        <w:jc w:val="both"/>
      </w:pPr>
    </w:p>
    <w:p w14:paraId="6918B684" w14:textId="77777777" w:rsidR="007E13C3" w:rsidRDefault="00000000">
      <w:pPr>
        <w:spacing w:before="160" w:after="30"/>
      </w:pPr>
      <w:r>
        <w:rPr>
          <w:b/>
          <w:color w:val="1F3864"/>
          <w:sz w:val="21"/>
        </w:rPr>
        <w:t>Mazars</w:t>
      </w:r>
      <w:r>
        <w:rPr>
          <w:color w:val="595959"/>
        </w:rPr>
        <w:t xml:space="preserve">  ·  Sept. 1999 – Mai 2004  (5 ans)</w:t>
      </w:r>
    </w:p>
    <w:p w14:paraId="741EC7A8" w14:textId="77777777" w:rsidR="007E13C3" w:rsidRDefault="00000000">
      <w:pPr>
        <w:spacing w:after="60"/>
      </w:pPr>
      <w:r>
        <w:rPr>
          <w:b/>
          <w:i/>
          <w:color w:val="2E75B6"/>
        </w:rPr>
        <w:t>Manager Audit — Practice Assurance &amp; Réassurance</w:t>
      </w:r>
    </w:p>
    <w:p w14:paraId="5BDE72D6" w14:textId="77777777" w:rsidR="007E13C3" w:rsidRDefault="00000000">
      <w:pPr>
        <w:pStyle w:val="Listepuces"/>
        <w:spacing w:before="30" w:after="30"/>
        <w:ind w:hanging="180"/>
      </w:pPr>
      <w:r>
        <w:rPr>
          <w:color w:val="262626"/>
        </w:rPr>
        <w:t>Audit légal, revues de contrôle interne, due diligence et accompagnement transactionnel pour assureurs et réassureurs.</w:t>
      </w:r>
    </w:p>
    <w:p w14:paraId="7FE870DA" w14:textId="77777777" w:rsidR="007E13C3" w:rsidRDefault="00000000">
      <w:pPr>
        <w:pStyle w:val="Listepuces"/>
        <w:spacing w:before="30" w:after="30"/>
        <w:ind w:hanging="180"/>
      </w:pPr>
      <w:r>
        <w:rPr>
          <w:color w:val="262626"/>
        </w:rPr>
        <w:t>Revues de la fonction investissement ; travaux de contrôle financier et de prévisions.</w:t>
      </w:r>
    </w:p>
    <w:p w14:paraId="133E57BB" w14:textId="77777777" w:rsidR="007E13C3" w:rsidRDefault="00000000">
      <w:pPr>
        <w:shd w:val="clear" w:color="auto" w:fill="2E75B6"/>
        <w:spacing w:before="200" w:after="80"/>
      </w:pPr>
      <w:r>
        <w:rPr>
          <w:b/>
          <w:color w:val="FFFFFF"/>
          <w:sz w:val="22"/>
        </w:rPr>
        <w:t xml:space="preserve">  FORMATION &amp; QUALIFICATIONS</w:t>
      </w:r>
    </w:p>
    <w:p w14:paraId="59B85010" w14:textId="276CB44D" w:rsidR="007E13C3" w:rsidRDefault="00000000">
      <w:pPr>
        <w:spacing w:before="50" w:after="50"/>
        <w:ind w:left="180"/>
      </w:pPr>
      <w:r>
        <w:rPr>
          <w:b/>
          <w:color w:val="1F3864"/>
        </w:rPr>
        <w:t>ESCP Business School</w:t>
      </w:r>
      <w:r>
        <w:rPr>
          <w:color w:val="262626"/>
        </w:rPr>
        <w:t xml:space="preserve">  —  Programme Grande École — Master in Management | Option : Finance  |  1991–1995</w:t>
      </w:r>
      <w:proofErr w:type="gramStart"/>
      <w:r>
        <w:rPr>
          <w:color w:val="262626"/>
        </w:rPr>
      </w:r>
      <w:proofErr w:type="gramEnd"/>
      <w:r>
        <w:rPr>
          <w:color w:val="262626"/>
        </w:rPr>
      </w:r>
      <w:r w:rsidR="006D7B53">
        <w:rPr>
          <w:color w:val="595959"/>
          <w:sz w:val="18"/>
        </w:rPr>
      </w:r>
      <w:r w:rsidR="006D7B53" w:rsidRPr="006D7B53">
        <w:rPr>
          <w:color w:val="262626"/>
        </w:rPr>
      </w:r>
      <w:r>
        <w:rPr>
          <w:color w:val="595959"/>
          <w:sz w:val="18"/>
        </w:rPr>
      </w:r>
    </w:p>
    <w:p w14:paraId="0EE45952" w14:textId="77777777" w:rsidR="007E13C3" w:rsidRDefault="00000000">
      <w:pPr>
        <w:spacing w:before="50" w:after="50"/>
        <w:ind w:left="180"/>
      </w:pPr>
      <w:r>
        <w:rPr>
          <w:b/>
          <w:color w:val="1F3864"/>
        </w:rPr>
        <w:t>Centre d'Études Actuarielles, Paris</w:t>
      </w:r>
      <w:r>
        <w:rPr>
          <w:color w:val="262626"/>
        </w:rPr>
        <w:t xml:space="preserve">  —  Master en Sciences Actuarielles  |  2002–2004</w:t>
      </w:r>
      <w:r>
        <w:rPr>
          <w:color w:val="595959"/>
          <w:sz w:val="18"/>
        </w:rPr>
      </w:r>
    </w:p>
    <w:p w14:paraId="69435AA8" w14:textId="77777777" w:rsidR="007E13C3" w:rsidRDefault="00000000">
      <w:pPr>
        <w:spacing w:before="50" w:after="50"/>
        <w:ind w:left="180"/>
      </w:pPr>
      <w:r>
        <w:rPr>
          <w:b/>
          <w:color w:val="1F3864"/>
        </w:rPr>
        <w:t>ENOES — École de l'Expertise Comptable</w:t>
      </w:r>
      <w:r>
        <w:rPr>
          <w:color w:val="262626"/>
        </w:rPr>
        <w:t xml:space="preserve">  —  D.E.C.F. (équivalent français du CPA)  |  2001</w:t>
      </w:r>
      <w:r>
        <w:rPr>
          <w:color w:val="595959"/>
          <w:sz w:val="18"/>
        </w:rPr>
      </w:r>
    </w:p>
    <w:p w14:paraId="57F9BDE4" w14:textId="77777777" w:rsidR="007E13C3" w:rsidRDefault="00000000">
      <w:pPr>
        <w:spacing w:before="50" w:after="50"/>
        <w:ind w:left="180"/>
      </w:pPr>
      <w:r>
        <w:rPr>
          <w:b/>
          <w:color w:val="1F3864"/>
        </w:rPr>
        <w:t>Université Paris Dauphine – PSL</w:t>
      </w:r>
      <w:r>
        <w:rPr>
          <w:color w:val="262626"/>
        </w:rPr>
        <w:t xml:space="preserve">  —  Master en économie  |  1995–1996</w:t>
      </w:r>
      <w:r>
        <w:rPr>
          <w:color w:val="595959"/>
          <w:sz w:val="18"/>
        </w:rPr>
      </w:r>
    </w:p>
    <w:p w14:paraId="22F6AC05" w14:textId="77777777" w:rsidR="007E13C3" w:rsidRDefault="00000000">
      <w:pPr>
        <w:spacing w:before="50" w:after="50"/>
        <w:ind w:left="180"/>
      </w:pPr>
      <w:r>
        <w:rPr>
          <w:b/>
          <w:color w:val="1F3864"/>
        </w:rPr>
        <w:t>Project Management Institute</w:t>
      </w:r>
      <w:r>
        <w:rPr>
          <w:color w:val="262626"/>
        </w:rPr>
        <w:t xml:space="preserve">  —  PMP® — Project Management Professional (actif)</w:t>
      </w:r>
    </w:p>
    <w:p w14:paraId="6C320DA3" w14:textId="77777777" w:rsidR="007E13C3" w:rsidRDefault="00000000">
      <w:pPr>
        <w:spacing w:before="50" w:after="50"/>
        <w:ind w:left="180"/>
      </w:pPr>
      <w:r>
        <w:rPr>
          <w:b/>
          <w:color w:val="1F3864"/>
        </w:rPr>
        <w:t>Certifications</w:t>
      </w:r>
      <w:r>
        <w:rPr>
          <w:color w:val="262626"/>
        </w:rPr>
        <w:t xml:space="preserve">  —  Generative AI Primer  |  GenAI for Account Executives</w:t>
      </w:r>
    </w:p>
    <w:p w14:paraId="57420D8A" w14:textId="77777777" w:rsidR="007E13C3" w:rsidRDefault="00000000">
      <w:pPr>
        <w:shd w:val="clear" w:color="auto" w:fill="2E75B6"/>
        <w:spacing w:before="200" w:after="80"/>
      </w:pPr>
      <w:r>
        <w:rPr>
          <w:b/>
          <w:color w:val="FFFFFF"/>
          <w:sz w:val="22"/>
        </w:rPr>
        <w:t xml:space="preserve">  LANGUES &amp; DISPONIBILITÉ</w:t>
      </w:r>
    </w:p>
    <w:p w14:paraId="1C0E538E" w14:textId="77777777" w:rsidR="007E13C3" w:rsidRDefault="00000000">
      <w:pPr>
        <w:spacing w:before="80" w:after="80"/>
        <w:ind w:left="180"/>
      </w:pPr>
      <w:r>
        <w:rPr>
          <w:color w:val="262626"/>
        </w:rPr>
        <w:t>Français : langue maternelle  |  Anglais : courant professionnel (C1/C2)  |  Espagnol &amp; Italien : élémentaire  |  Allemand : professionnel limité</w:t>
      </w:r>
    </w:p>
    <w:p w14:paraId="6CA8420E" w14:textId="77777777" w:rsidR="007E13C3" w:rsidRDefault="00000000">
      <w:pPr>
        <w:spacing w:after="80"/>
        <w:ind w:left="180"/>
      </w:pPr>
      <w:r>
        <w:rPr>
          <w:color w:val="262626"/>
        </w:rPr>
        <w:t>Disponible : Mai 2026  |  Format : Télétravail privilégié, hybride envisagé  |  Zone géographique : France, Royaume-Uni, Europe continentale, Amérique du Nord, APAC</w:t>
      </w:r>
    </w:p>
    <w:sectPr w:rsidR="007E13C3"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BB6CC678"/>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902797"/>
    <w:multiLevelType w:val="hybridMultilevel"/>
    <w:tmpl w:val="903CC83C"/>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CFA35B4"/>
    <w:multiLevelType w:val="hybridMultilevel"/>
    <w:tmpl w:val="EED4BCB0"/>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44F07175"/>
    <w:multiLevelType w:val="hybridMultilevel"/>
    <w:tmpl w:val="CC6E3A56"/>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232469122">
    <w:abstractNumId w:val="8"/>
  </w:num>
  <w:num w:numId="2" w16cid:durableId="679890716">
    <w:abstractNumId w:val="6"/>
  </w:num>
  <w:num w:numId="3" w16cid:durableId="1691641273">
    <w:abstractNumId w:val="5"/>
  </w:num>
  <w:num w:numId="4" w16cid:durableId="1218083617">
    <w:abstractNumId w:val="4"/>
  </w:num>
  <w:num w:numId="5" w16cid:durableId="76097820">
    <w:abstractNumId w:val="7"/>
  </w:num>
  <w:num w:numId="6" w16cid:durableId="200896160">
    <w:abstractNumId w:val="3"/>
  </w:num>
  <w:num w:numId="7" w16cid:durableId="88548990">
    <w:abstractNumId w:val="2"/>
  </w:num>
  <w:num w:numId="8" w16cid:durableId="2105103452">
    <w:abstractNumId w:val="1"/>
  </w:num>
  <w:num w:numId="9" w16cid:durableId="1141727107">
    <w:abstractNumId w:val="0"/>
  </w:num>
  <w:num w:numId="10" w16cid:durableId="1603954212">
    <w:abstractNumId w:val="10"/>
  </w:num>
  <w:num w:numId="11" w16cid:durableId="1311246224">
    <w:abstractNumId w:val="11"/>
  </w:num>
  <w:num w:numId="12" w16cid:durableId="21362118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1F6"/>
    <w:rsid w:val="0029639D"/>
    <w:rsid w:val="00326F90"/>
    <w:rsid w:val="00590A91"/>
    <w:rsid w:val="006D7B53"/>
    <w:rsid w:val="007E13C3"/>
    <w:rsid w:val="00AA1D8D"/>
    <w:rsid w:val="00B47730"/>
    <w:rsid w:val="00C70F2A"/>
    <w:rsid w:val="00C97B35"/>
    <w:rsid w:val="00CB0664"/>
    <w:rsid w:val="00CF0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A3236"/>
  <w14:defaultImageDpi w14:val="300"/>
  <w15:docId w15:val="{41C14C36-5BC1-D948-B300-F6256751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1686</Words>
  <Characters>9279</Characters>
  <Application>Microsoft Office Word</Application>
  <DocSecurity>0</DocSecurity>
  <Lines>77</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Xavier Robitaille</cp:lastModifiedBy>
  <cp:revision>4</cp:revision>
  <dcterms:created xsi:type="dcterms:W3CDTF">2026-05-11T13:41:00Z</dcterms:created>
  <dcterms:modified xsi:type="dcterms:W3CDTF">2026-05-11T13:50:00Z</dcterms:modified>
  <cp:category/>
</cp:coreProperties>
</file>