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2802" w14:textId="77777777" w:rsidR="009C000A" w:rsidRDefault="00000000">
      <w:pPr>
        <w:shd w:val="clear" w:color="auto" w:fill="1F3864"/>
        <w:spacing w:after="0" w:line="240" w:lineRule="auto"/>
        <w:jc w:val="center"/>
      </w:pPr>
      <w:r>
        <w:rPr>
          <w:b/>
          <w:color w:val="FFFFFF"/>
          <w:sz w:val="32"/>
        </w:rPr>
        <w:t>XAVIER ROBITAILLE</w:t>
      </w:r>
    </w:p>
    <w:p w14:paraId="1A84A161" w14:textId="77777777" w:rsidR="009C000A" w:rsidRDefault="00000000">
      <w:pPr>
        <w:shd w:val="clear" w:color="auto" w:fill="1F3864"/>
        <w:spacing w:after="0" w:line="240" w:lineRule="auto"/>
        <w:jc w:val="center"/>
      </w:pPr>
      <w:r>
        <w:rPr>
          <w:color w:val="D6E4F0"/>
        </w:rPr>
        <w:t>Spécialiste IFRS 17 / IFRS 9 / Solvency II  |  Transformation Finance Assurance  |  Consultant Senior &amp; Directeur de Programme</w:t>
      </w:r>
    </w:p>
    <w:p w14:paraId="6D2FD91B" w14:textId="77777777" w:rsidR="009C000A" w:rsidRDefault="00000000">
      <w:pPr>
        <w:shd w:val="clear" w:color="auto" w:fill="2E75B6"/>
        <w:spacing w:before="60" w:after="60" w:line="240" w:lineRule="auto"/>
        <w:jc w:val="center"/>
      </w:pPr>
      <w:r>
        <w:rPr>
          <w:color w:val="FFFFFF"/>
          <w:sz w:val="18"/>
        </w:rPr>
        <w:t>+33 6 64 89 09 43  |  xrobitaille92150@gmail.com  |  linkedin.com/in/xrobitaille  |  Remote / international — disponible mai 2026</w:t>
      </w:r>
    </w:p>
    <w:p w14:paraId="5FA8DCF7" w14:textId="77777777" w:rsidR="009C000A" w:rsidRDefault="00000000">
      <w:pPr>
        <w:shd w:val="clear" w:color="auto" w:fill="2E75B6"/>
        <w:spacing w:before="200" w:after="80"/>
      </w:pPr>
      <w:r>
        <w:rPr>
          <w:b/>
          <w:color w:val="FFFFFF"/>
          <w:sz w:val="22"/>
        </w:rPr>
        <w:t xml:space="preserve">  RÉSUMÉ EXÉCUTIF</w:t>
      </w:r>
    </w:p>
    <w:p w14:paraId="729F5AE9" w14:textId="77777777" w:rsidR="00E3566E" w:rsidRPr="00E3566E" w:rsidRDefault="00000000" w:rsidP="00E3566E">
      <w:pPr>
        <w:pStyle w:val="Paragraphedeliste"/>
        <w:numPr>
          <w:ilvl w:val="0"/>
          <w:numId w:val="10"/>
        </w:numPr>
        <w:spacing w:before="80" w:after="80"/>
        <w:ind w:right="120"/>
      </w:pPr>
      <w:r w:rsidRPr="00E3566E">
        <w:rPr>
          <w:color w:val="262626"/>
        </w:rPr>
        <w:t xml:space="preserve">Consultant finance senior spécialisé en </w:t>
      </w:r>
      <w:r w:rsidRPr="00E3566E">
        <w:rPr>
          <w:b/>
          <w:bCs/>
          <w:color w:val="262626"/>
        </w:rPr>
        <w:t>transformation de la comptabilité assurance</w:t>
      </w:r>
      <w:r w:rsidRPr="00E3566E">
        <w:rPr>
          <w:color w:val="262626"/>
        </w:rPr>
        <w:t xml:space="preserve">, avec plus de 25 ans d'expérience en assurance, réassurance et asset management. Expertise approfondie et opérationnelle en </w:t>
      </w:r>
      <w:r w:rsidRPr="00E3566E">
        <w:rPr>
          <w:b/>
          <w:bCs/>
          <w:color w:val="262626"/>
        </w:rPr>
        <w:t>IFRS 17</w:t>
      </w:r>
      <w:r w:rsidRPr="00E3566E">
        <w:rPr>
          <w:color w:val="262626"/>
        </w:rPr>
        <w:t xml:space="preserve">, </w:t>
      </w:r>
      <w:r w:rsidRPr="00E3566E">
        <w:rPr>
          <w:b/>
          <w:bCs/>
          <w:color w:val="262626"/>
        </w:rPr>
        <w:t>IFRS 9</w:t>
      </w:r>
      <w:r w:rsidRPr="00E3566E">
        <w:rPr>
          <w:color w:val="262626"/>
        </w:rPr>
        <w:t xml:space="preserve"> et </w:t>
      </w:r>
      <w:r w:rsidRPr="00E3566E">
        <w:rPr>
          <w:b/>
          <w:bCs/>
          <w:color w:val="262626"/>
        </w:rPr>
        <w:t>Solvency II</w:t>
      </w:r>
      <w:r w:rsidRPr="00E3566E">
        <w:rPr>
          <w:color w:val="262626"/>
        </w:rPr>
        <w:t xml:space="preserve"> : depuis l'étude d'impact et la conception du TOM jusqu'au dry-run de clôture, la conception des systèmes, les UAT et la première année de production. </w:t>
      </w:r>
    </w:p>
    <w:p w14:paraId="65EBAF51" w14:textId="77777777" w:rsidR="00E3566E" w:rsidRPr="00E3566E" w:rsidRDefault="00000000" w:rsidP="00E3566E">
      <w:pPr>
        <w:pStyle w:val="Paragraphedeliste"/>
        <w:numPr>
          <w:ilvl w:val="0"/>
          <w:numId w:val="10"/>
        </w:numPr>
        <w:spacing w:before="80" w:after="80"/>
        <w:ind w:right="120"/>
      </w:pPr>
      <w:r w:rsidRPr="00E3566E">
        <w:rPr>
          <w:color w:val="262626"/>
        </w:rPr>
        <w:t xml:space="preserve">Combine une formation </w:t>
      </w:r>
      <w:r w:rsidRPr="00E3566E">
        <w:rPr>
          <w:b/>
          <w:bCs/>
          <w:color w:val="262626"/>
        </w:rPr>
        <w:t>actuarielle</w:t>
      </w:r>
      <w:r w:rsidRPr="00E3566E">
        <w:rPr>
          <w:color w:val="262626"/>
        </w:rPr>
        <w:t xml:space="preserve">, une expertise en </w:t>
      </w:r>
      <w:r w:rsidRPr="00E3566E">
        <w:rPr>
          <w:b/>
          <w:bCs/>
          <w:color w:val="262626"/>
        </w:rPr>
        <w:t>comptabilité technique</w:t>
      </w:r>
      <w:r w:rsidRPr="00E3566E">
        <w:rPr>
          <w:color w:val="262626"/>
        </w:rPr>
        <w:t xml:space="preserve"> et une rigueur de </w:t>
      </w:r>
      <w:r w:rsidRPr="00E3566E">
        <w:rPr>
          <w:b/>
          <w:bCs/>
          <w:color w:val="262626"/>
        </w:rPr>
        <w:t>pilotage de programme</w:t>
      </w:r>
      <w:r w:rsidRPr="00E3566E">
        <w:rPr>
          <w:color w:val="262626"/>
        </w:rPr>
        <w:t xml:space="preserve"> — un profil rare capable d'opérer avec crédibilité simultanément sur les périmètres Finance, Actuariat, Risque et IT.</w:t>
      </w:r>
    </w:p>
    <w:p w14:paraId="7EF2EC9D" w14:textId="77777777" w:rsidR="00E3566E" w:rsidRPr="00E3566E" w:rsidRDefault="00000000" w:rsidP="00E3566E">
      <w:pPr>
        <w:pStyle w:val="Paragraphedeliste"/>
        <w:numPr>
          <w:ilvl w:val="0"/>
          <w:numId w:val="10"/>
        </w:numPr>
        <w:spacing w:before="80" w:after="80"/>
        <w:ind w:right="120"/>
      </w:pPr>
      <w:r w:rsidRPr="00E3566E">
        <w:rPr>
          <w:color w:val="262626"/>
        </w:rPr>
        <w:t>Parcours incluant : IFRS 9 Programme Manager chez Coface (3 ans, Finance seule propriétaire du modèle ECL), Finance Stream Leader IFRS 9/17/Solvency II chez AXA XL (évaluation d'éligibilité PAA, dry-run sous SAS, livraison QRT/ORSA/RSR/SFCR), Head of Technical Accounting and Reserving chez Coface (méthodologie Bornhuetter-Ferguson), Group Head of Investment Accounting (production IFRS 9 en run, automatisation R2R), et Audit Manager Assurance chez Mazars.</w:t>
      </w:r>
    </w:p>
    <w:p w14:paraId="0577C2F5" w14:textId="77777777" w:rsidR="00E3566E" w:rsidRPr="00E3566E" w:rsidRDefault="00000000" w:rsidP="00E3566E">
      <w:pPr>
        <w:pStyle w:val="Paragraphedeliste"/>
        <w:numPr>
          <w:ilvl w:val="0"/>
          <w:numId w:val="10"/>
        </w:numPr>
        <w:spacing w:before="80" w:after="80"/>
        <w:ind w:right="120"/>
      </w:pPr>
      <w:r w:rsidRPr="00E3566E">
        <w:rPr>
          <w:color w:val="262626"/>
        </w:rPr>
        <w:t xml:space="preserve">Particulièrement recherché pour les </w:t>
      </w:r>
      <w:r w:rsidRPr="00E3566E">
        <w:rPr>
          <w:b/>
          <w:bCs/>
          <w:color w:val="262626"/>
        </w:rPr>
        <w:t>implémentations réglementaires complexes</w:t>
      </w:r>
      <w:r w:rsidRPr="00E3566E">
        <w:rPr>
          <w:color w:val="262626"/>
        </w:rPr>
        <w:t xml:space="preserve"> où l'interface Finance/Actuariat/IT constitue l'enjeu critique. </w:t>
      </w:r>
    </w:p>
    <w:p w14:paraId="6C31C8D1" w14:textId="1D18283D" w:rsidR="009C000A" w:rsidRDefault="00000000" w:rsidP="00E3566E">
      <w:pPr>
        <w:pStyle w:val="Paragraphedeliste"/>
        <w:numPr>
          <w:ilvl w:val="0"/>
          <w:numId w:val="10"/>
        </w:numPr>
        <w:spacing w:before="80" w:after="80"/>
        <w:ind w:right="120"/>
      </w:pPr>
      <w:r w:rsidRPr="00E3566E">
        <w:rPr>
          <w:color w:val="262626"/>
        </w:rPr>
        <w:t>Bilingue EN/FR. Ouvert à des missions à distance dans le monde entier, en hybride en EMEA (UK, Europe continentale).</w:t>
      </w:r>
      <w:r w:rsidR="00E3566E">
        <w:rPr>
          <w:color w:val="262626"/>
        </w:rPr>
      </w:r>
      <w:r w:rsidRPr="00E3566E">
        <w:rPr>
          <w:color w:val="262626"/>
        </w:rPr>
      </w:r>
      <w:r w:rsidR="00E3566E">
        <w:rPr>
          <w:color w:val="262626"/>
        </w:rPr>
      </w:r>
      <w:r w:rsidRPr="00E3566E">
        <w:rPr>
          <w:color w:val="262626"/>
        </w:rPr>
      </w:r>
    </w:p>
    <w:p w14:paraId="4CF1F901" w14:textId="77777777" w:rsidR="009C000A" w:rsidRDefault="00000000">
      <w:pPr>
        <w:shd w:val="clear" w:color="auto" w:fill="2E75B6"/>
        <w:spacing w:before="200" w:after="80"/>
      </w:pPr>
      <w:r>
        <w:rPr>
          <w:b/>
          <w:color w:val="FFFFFF"/>
          <w:sz w:val="22"/>
        </w:rPr>
        <w:t xml:space="preserve">  MOTS-CLÉS PRINCIPAUX</w:t>
      </w:r>
    </w:p>
    <w:p w14:paraId="79EA7799" w14:textId="77777777" w:rsidR="009C000A" w:rsidRDefault="00000000">
      <w:pPr>
        <w:spacing w:before="60" w:after="60"/>
        <w:ind w:left="120" w:right="120"/>
      </w:pPr>
      <w:r>
        <w:rPr>
          <w:color w:val="262626"/>
          <w:sz w:val="18"/>
        </w:rPr>
        <w:t>IFRS 17  |  IFRS 9  |  Solvency II  |  PAA (Premium Allocation Approach)  |  GMM  |  ECL Model  |  Transformation Finance Assurance  |  Comptabilité Technique  |  Reserving  |  QRT Reporting  |  ORSA / RSR / SFCR  |  Target Operating Model  |  Dry-run Close  |  Étude d'Impact  |  Record to Report (R2R)  |  Automatisation des Processus  |  Migration de Données  |  UAT  |  Interface Finance / Actuariat / IT  |  PMO  |  SAP S/4HANA  |  SAP BFC  |  SAS  |  Comptabilité des Placements  |  Optimisation de la Clôture  |  Solvency II Look-through  |  Power BI</w:t>
      </w:r>
    </w:p>
    <w:p w14:paraId="32FB196D" w14:textId="77777777" w:rsidR="009C000A" w:rsidRDefault="00000000">
      <w:pPr>
        <w:shd w:val="clear" w:color="auto" w:fill="2E75B6"/>
        <w:spacing w:before="200" w:after="80"/>
      </w:pPr>
      <w:r>
        <w:rPr>
          <w:b/>
          <w:color w:val="FFFFFF"/>
          <w:sz w:val="22"/>
        </w:rPr>
        <w:t xml:space="preserve">  MISSIONS RÉGLEMENTAIRES CLÉS — IFRS 9 / IFRS 17 / SOLVENCY II</w:t>
      </w:r>
    </w:p>
    <w:p w14:paraId="660B3334" w14:textId="77777777" w:rsidR="009C000A" w:rsidRDefault="00000000">
      <w:pPr>
        <w:spacing w:before="40" w:after="40"/>
        <w:ind w:left="180"/>
      </w:pPr>
      <w:r>
        <w:rPr>
          <w:b/>
          <w:color w:val="1F3864"/>
        </w:rPr>
        <w:t>AXA XL (P&amp;C Finance)</w:t>
      </w:r>
      <w:r>
        <w:rPr>
          <w:color w:val="262626"/>
        </w:rPr>
        <w:t xml:space="preserve">  —  Finance Stream Leader IFRS 9 + IFRS 17 + Solvency II — évaluation d'éligibilité PAA sur l'ensemble des LoB, dry-run de clôture sous SAS, ~€25m d'impact sur les capitaux propres quantifié, livraison QRT / ORSA / RSR / SFCR (2018–2019)</w:t>
      </w:r>
    </w:p>
    <w:p w14:paraId="56B82C1A" w14:textId="77777777" w:rsidR="009C000A" w:rsidRDefault="00000000">
      <w:pPr>
        <w:spacing w:before="40" w:after="40"/>
        <w:ind w:left="180"/>
      </w:pPr>
      <w:r>
        <w:rPr>
          <w:b/>
          <w:color w:val="1F3864"/>
        </w:rPr>
        <w:t>Coface Group Finance</w:t>
      </w:r>
      <w:r>
        <w:rPr>
          <w:color w:val="262626"/>
        </w:rPr>
        <w:t xml:space="preserve">  —  IFRS 9 Project Manager — conception du modèle ECL (SAS, Finance seule propriétaire, méthodologie de matrices de risque externes), migration de données, transition comptable, pilotage des UAT (3 ans, 2020–2022)</w:t>
      </w:r>
    </w:p>
    <w:p w14:paraId="7280D5F5" w14:textId="77777777" w:rsidR="009C000A" w:rsidRDefault="00000000">
      <w:pPr>
        <w:spacing w:before="40" w:after="40"/>
        <w:ind w:left="180"/>
      </w:pPr>
      <w:r>
        <w:rPr>
          <w:b/>
          <w:color w:val="1F3864"/>
        </w:rPr>
        <w:t>Coface Group Finance</w:t>
      </w:r>
      <w:r>
        <w:rPr>
          <w:color w:val="262626"/>
        </w:rPr>
        <w:t xml:space="preserve">  —  Group Head of Investment Accounting — production IFRS 9 en run, automatisation R2R, clôture D+5→D+3 via SAP S/4HANA, tableau de bord placements Power BI (2023–2024)</w:t>
      </w:r>
    </w:p>
    <w:p w14:paraId="539D0327" w14:textId="77777777" w:rsidR="009C000A" w:rsidRDefault="00000000">
      <w:pPr>
        <w:spacing w:before="40" w:after="40"/>
        <w:ind w:left="180"/>
      </w:pPr>
      <w:r>
        <w:rPr>
          <w:b/>
          <w:color w:val="1F3864"/>
        </w:rPr>
        <w:t>Coface (première mission)</w:t>
      </w:r>
      <w:r>
        <w:rPr>
          <w:color w:val="262626"/>
        </w:rPr>
        <w:t xml:space="preserve">  —  Head of Technical Accounting &amp; Reserving — provisionnement stochastique Bornhuetter-Ferguson, conception de la plateforme de données placements sous SAS, comptabilité technique IFRS (2004–2005 + 2017–2018)</w:t>
      </w:r>
    </w:p>
    <w:p w14:paraId="498EBF44" w14:textId="77777777" w:rsidR="009C000A" w:rsidRDefault="00000000">
      <w:pPr>
        <w:spacing w:before="40" w:after="40"/>
        <w:ind w:left="180"/>
      </w:pPr>
      <w:r>
        <w:rPr>
          <w:b/>
          <w:color w:val="1F3864"/>
        </w:rPr>
        <w:t>Mazars</w:t>
      </w:r>
      <w:r>
        <w:rPr>
          <w:color w:val="262626"/>
        </w:rPr>
        <w:t xml:space="preserve">  —  Audit Manager Assurance &amp; Réassurance — commissariat aux comptes, contrôle interne, revues de provisionnement (5 ans, 1999–2004)</w:t>
      </w:r>
    </w:p>
    <w:p w14:paraId="044C7437" w14:textId="77777777" w:rsidR="009C000A" w:rsidRDefault="00000000">
      <w:pPr>
        <w:shd w:val="clear" w:color="auto" w:fill="2E75B6"/>
        <w:spacing w:before="200" w:after="80"/>
      </w:pPr>
      <w:r>
        <w:rPr>
          <w:b/>
          <w:color w:val="FFFFFF"/>
          <w:sz w:val="22"/>
        </w:rPr>
        <w:t xml:space="preserve">  EXPÉRIENCE PROFESSIONNELLE</w:t>
      </w:r>
    </w:p>
    <w:p w14:paraId="041313A9" w14:textId="77777777" w:rsidR="009C000A" w:rsidRDefault="00000000">
      <w:pPr>
        <w:spacing w:before="160" w:after="30"/>
      </w:pPr>
      <w:r>
        <w:rPr>
          <w:b/>
          <w:color w:val="1F3864"/>
          <w:sz w:val="21"/>
        </w:rPr>
        <w:t>AXA XL  —  Département P&amp;C Finance</w:t>
      </w:r>
      <w:r>
        <w:rPr>
          <w:color w:val="595959"/>
        </w:rPr>
        <w:t xml:space="preserve">  ·  Mai 2018 – Juil 2019  (15 mois)</w:t>
      </w:r>
    </w:p>
    <w:p w14:paraId="6AE5FE47" w14:textId="77777777" w:rsidR="009C000A" w:rsidRDefault="00000000">
      <w:pPr>
        <w:spacing w:after="60"/>
      </w:pPr>
      <w:r>
        <w:rPr>
          <w:b/>
          <w:i/>
          <w:color w:val="2E75B6"/>
        </w:rPr>
        <w:t>Finance Stream Leader — IFRS 9 / IFRS 17 / Solvency II</w:t>
      </w:r>
    </w:p>
    <w:p w14:paraId="1458D95D" w14:textId="77777777" w:rsidR="009C000A" w:rsidRDefault="00000000">
      <w:pPr>
        <w:pStyle w:val="Listepuces"/>
        <w:spacing w:before="30" w:after="30"/>
        <w:ind w:hanging="180"/>
      </w:pPr>
      <w:r>
        <w:rPr>
          <w:color w:val="262626"/>
        </w:rPr>
        <w:t>Pilotage de bout en bout des chantiers d’évaluation des impacts Finance et de mise en œuvre pour une transformation combinée IFRS 9, IFRS 17 et Solvency II au sein d’une entité P&amp;C d’AXA.</w:t>
      </w:r>
    </w:p>
    <w:p w14:paraId="2F978A18" w14:textId="77777777" w:rsidR="009C000A" w:rsidRDefault="00000000">
      <w:pPr>
        <w:pStyle w:val="Listepuces"/>
        <w:spacing w:before="30" w:after="30"/>
        <w:ind w:hanging="180"/>
      </w:pPr>
      <w:r>
        <w:rPr>
          <w:color w:val="262626"/>
        </w:rPr>
        <w:t xml:space="preserve">IFRS 17 : confirmation </w:t>
      </w:r>
      <w:r>
        <w:rPr>
          <w:b/>
          <w:color w:val="262626"/>
        </w:rPr>
        <w:t>PAA (Premium Allocation Approach)</w:t>
      </w:r>
      <w:r>
        <w:rPr>
          <w:color w:val="262626"/>
        </w:rPr>
        <w:t xml:space="preserve"> de l’éligibilité pour toutes les familles de contrats (couverture ≤ 1 an). Livraison d’une clôture blanche IFRS 17 au 31 déc 2017 à l’aide d’un </w:t>
      </w:r>
      <w:r>
        <w:rPr>
          <w:b/>
          <w:color w:val="262626"/>
        </w:rPr>
        <w:t>modèle interne basé sur SAS</w:t>
      </w:r>
      <w:r>
        <w:rPr>
          <w:color w:val="262626"/>
        </w:rPr>
        <w:t xml:space="preserve"> (dérivé du modèle Groupe AXA) : quantification d’un </w:t>
      </w:r>
      <w:r>
        <w:rPr>
          <w:b/>
          <w:color w:val="262626"/>
        </w:rPr>
        <w:t>ajustement de transition sur capitaux propres d’environ 25 M€</w:t>
      </w:r>
      <w:r>
        <w:rPr>
          <w:color w:val="262626"/>
        </w:rPr>
        <w:t xml:space="preserve"> et d’une </w:t>
      </w:r>
      <w:r>
        <w:rPr>
          <w:b/>
          <w:color w:val="262626"/>
        </w:rPr>
        <w:t>variation de ratio combiné d’environ 1,5 pt</w:t>
      </w:r>
      <w:r>
        <w:rPr>
          <w:color w:val="262626"/>
        </w:rPr>
        <w:t xml:space="preserve"> sur </w:t>
      </w:r>
      <w:r>
        <w:rPr>
          <w:b/>
          <w:color w:val="262626"/>
        </w:rPr>
        <w:t>8 lignes de métier</w:t>
      </w:r>
      <w:r>
        <w:rPr>
          <w:color w:val="262626"/>
        </w:rPr>
        <w:t>.</w:t>
      </w:r>
    </w:p>
    <w:p w14:paraId="6399953B" w14:textId="77777777" w:rsidR="009C000A" w:rsidRDefault="00000000">
      <w:pPr>
        <w:pStyle w:val="Listepuces"/>
        <w:spacing w:before="30" w:after="30"/>
        <w:ind w:hanging="180"/>
      </w:pPr>
      <w:r>
        <w:rPr>
          <w:color w:val="262626"/>
        </w:rPr>
        <w:t xml:space="preserve">IFRS 9 : pilotage de l’évaluation classification &amp; évaluation (portefeuille de placements), conception de l’approche de dépréciation, écritures comptables de transition et méthodologie </w:t>
      </w:r>
      <w:r>
        <w:rPr>
          <w:b/>
          <w:color w:val="262626"/>
        </w:rPr>
        <w:t>ECL staging</w:t>
      </w:r>
      <w:r>
        <w:rPr>
          <w:color w:val="262626"/>
        </w:rPr>
        <w:t>. Coordination avec le Risque et l’Actuariat sur les données d’entrée du modèle de provisionnement.</w:t>
      </w:r>
    </w:p>
    <w:p w14:paraId="15FEE276" w14:textId="77777777" w:rsidR="009C000A" w:rsidRDefault="00000000">
      <w:pPr>
        <w:pStyle w:val="Listepuces"/>
        <w:spacing w:before="30" w:after="30"/>
        <w:ind w:hanging="180"/>
      </w:pPr>
      <w:r>
        <w:rPr>
          <w:color w:val="262626"/>
        </w:rPr>
        <w:t>Définition du Target Operating Model : organisation, processus, outils comptables et architecture de reporting sous les nouvelles normes.</w:t>
      </w:r>
    </w:p>
    <w:p w14:paraId="6E427D2A" w14:textId="77777777" w:rsidR="009C000A" w:rsidRDefault="00000000">
      <w:pPr>
        <w:pStyle w:val="Listepuces"/>
        <w:spacing w:before="30" w:after="30"/>
        <w:ind w:hanging="180"/>
      </w:pPr>
      <w:r>
        <w:rPr>
          <w:color w:val="262626"/>
        </w:rPr>
        <w:t>Supervision du reporting QRT Solvency II (</w:t>
      </w:r>
      <w:r>
        <w:rPr>
          <w:b/>
          <w:color w:val="262626"/>
        </w:rPr>
        <w:t>Invoke RAPP</w:t>
      </w:r>
      <w:r>
        <w:rPr>
          <w:color w:val="262626"/>
        </w:rPr>
        <w:t>) ; contribution aux livrables ORSA, RSR et SFCR.</w:t>
      </w:r>
    </w:p>
    <w:p w14:paraId="07C8AC39" w14:textId="77777777" w:rsidR="009C000A" w:rsidRDefault="00000000">
      <w:pPr>
        <w:pStyle w:val="Listepuces"/>
        <w:spacing w:before="30" w:after="30"/>
        <w:ind w:hanging="180"/>
      </w:pPr>
      <w:r>
        <w:rPr>
          <w:color w:val="262626"/>
        </w:rPr>
        <w:t>Co-animation des comités de pilotage ; coordination des parties prenantes Finance, Actuariat, Risque, Réassurance, IT et audit externe.</w:t>
      </w:r>
    </w:p>
    <w:p w14:paraId="3883B2D7" w14:textId="77777777" w:rsidR="009C000A" w:rsidRDefault="00000000">
      <w:pPr>
        <w:pStyle w:val="Listepuces"/>
        <w:spacing w:before="30" w:after="30"/>
        <w:ind w:hanging="180"/>
      </w:pPr>
      <w:r>
        <w:rPr>
          <w:color w:val="262626"/>
        </w:rPr>
        <w:t>Organisation des cycles de clôture trimestriels et annuels : planification, répartition des tâches, reporting quotidien à la direction générale.</w:t>
      </w:r>
    </w:p>
    <w:p w14:paraId="2F70BB6C" w14:textId="77777777" w:rsidR="009C000A" w:rsidRDefault="009C000A">
      <w:pPr>
        <w:pBdr>
          <w:bottom w:val="single" w:sz="4" w:space="1" w:color="D6E4F0"/>
        </w:pBdr>
        <w:spacing w:after="0" w:line="240" w:lineRule="auto"/>
      </w:pPr>
    </w:p>
    <w:p w14:paraId="12D2E57F" w14:textId="77777777" w:rsidR="009C000A" w:rsidRDefault="00000000">
      <w:pPr>
        <w:spacing w:before="160" w:after="30"/>
      </w:pPr>
      <w:r>
        <w:rPr>
          <w:b/>
          <w:color w:val="1F3864"/>
          <w:sz w:val="21"/>
        </w:rPr>
        <w:t>Coface Group  —  Group Finance</w:t>
      </w:r>
      <w:r>
        <w:rPr>
          <w:color w:val="595959"/>
        </w:rPr>
        <w:t xml:space="preserve">  ·  Mai 2017 – Mai 2018  +  Jan 2020 – Oct 2024  (5 ans)</w:t>
      </w:r>
    </w:p>
    <w:p w14:paraId="3FBAE2A6" w14:textId="77777777" w:rsidR="009C000A" w:rsidRDefault="00000000">
      <w:pPr>
        <w:spacing w:after="60"/>
      </w:pPr>
      <w:r>
        <w:rPr>
          <w:b/>
          <w:i/>
          <w:color w:val="2E75B6"/>
        </w:rPr>
        <w:t>Chef de Projet IFRS 9  /  Responsable Groupe Comptabilité des Placements</w:t>
      </w:r>
    </w:p>
    <w:p w14:paraId="7F95C5E7" w14:textId="77777777" w:rsidR="009C000A" w:rsidRDefault="00000000">
      <w:pPr>
        <w:spacing w:before="80" w:after="20"/>
        <w:ind w:left="180"/>
      </w:pPr>
      <w:r>
        <w:rPr>
          <w:b/>
          <w:color w:val="2E75B6"/>
        </w:rPr>
        <w:t>Chef de Projet IFRS 9  (Jan 2020 – Déc 2022)</w:t>
      </w:r>
    </w:p>
    <w:p w14:paraId="2FD639B0" w14:textId="77777777" w:rsidR="009C000A" w:rsidRDefault="00000000">
      <w:pPr>
        <w:pStyle w:val="Listepuces"/>
        <w:spacing w:before="30" w:after="30"/>
        <w:ind w:hanging="180"/>
      </w:pPr>
      <w:r>
        <w:rPr>
          <w:color w:val="262626"/>
        </w:rPr>
        <w:t>Pilotage des chantiers Finance pour la mise en œuvre d’IFRS 9 chez Coface — comptabilité des placements, modèle de provisionnement ECL, migration de données et refonte du processus de clôture.</w:t>
      </w:r>
    </w:p>
    <w:p w14:paraId="486FD7B3" w14:textId="77777777" w:rsidR="009C000A" w:rsidRDefault="00000000">
      <w:pPr>
        <w:pStyle w:val="Listepuces"/>
        <w:spacing w:before="30" w:after="30"/>
        <w:ind w:hanging="180"/>
      </w:pPr>
      <w:r>
        <w:rPr>
          <w:color w:val="262626"/>
        </w:rPr>
        <w:t xml:space="preserve">Conception du </w:t>
      </w:r>
      <w:r>
        <w:rPr>
          <w:b/>
          <w:color w:val="262626"/>
        </w:rPr>
        <w:t>modèle ECL (Expected Credit Loss)</w:t>
      </w:r>
      <w:r>
        <w:rPr>
          <w:color w:val="262626"/>
        </w:rPr>
        <w:t xml:space="preserve"> de bout en bout : méthodologie construite à partir de matrices de risque externes, implémentée sous </w:t>
      </w:r>
      <w:r>
        <w:rPr>
          <w:b/>
          <w:color w:val="262626"/>
        </w:rPr>
        <w:t>SAS</w:t>
      </w:r>
      <w:r>
        <w:rPr>
          <w:color w:val="262626"/>
        </w:rPr>
        <w:t>, avec la Finance comme seule propriétaire — un dispositif inhabituel garantissant une maîtrise totale de la gouvernance du modèle. Mise en place d’un cadre d’analyse des écarts mensuel en post-production ; supervision des phases d’UAT et de proof-of-concept.</w:t>
      </w:r>
    </w:p>
    <w:p w14:paraId="05B2C1CD" w14:textId="77777777" w:rsidR="009C000A" w:rsidRDefault="00000000">
      <w:pPr>
        <w:pStyle w:val="Listepuces"/>
        <w:spacing w:before="30" w:after="30"/>
        <w:ind w:hanging="180"/>
      </w:pPr>
      <w:r>
        <w:rPr>
          <w:color w:val="262626"/>
        </w:rPr>
        <w:t>Validation des schémas comptables de transition (écritures Day-1 IFRS 9) ; refonte du calendrier de clôture sous IFRS 9 ; développement d’outils de contrôle automatisés pour le suivi continu.</w:t>
      </w:r>
    </w:p>
    <w:p w14:paraId="35C18BCC" w14:textId="77777777" w:rsidR="009C000A" w:rsidRDefault="00000000">
      <w:pPr>
        <w:pStyle w:val="Listepuces"/>
        <w:spacing w:before="30" w:after="30"/>
        <w:ind w:hanging="180"/>
      </w:pPr>
      <w:r>
        <w:rPr>
          <w:color w:val="262626"/>
        </w:rPr>
        <w:t>Coordination de la Finance, du Risque, de l’IT et des auditeurs externes sur toutes les phases du projet ; gestion du calendrier de reporting réglementaire lors de la première année de production réelle.</w:t>
      </w:r>
    </w:p>
    <w:p w14:paraId="5D1CDF09" w14:textId="77777777" w:rsidR="009C000A" w:rsidRDefault="00000000">
      <w:pPr>
        <w:spacing w:before="80" w:after="20"/>
        <w:ind w:left="180"/>
      </w:pPr>
      <w:r>
        <w:rPr>
          <w:b/>
          <w:color w:val="2E75B6"/>
        </w:rPr>
        <w:t>Responsable Groupe Comptabilité des Placements  (Jan 2023 – Oct 2024)</w:t>
      </w:r>
    </w:p>
    <w:p w14:paraId="37A53283" w14:textId="77777777" w:rsidR="009C000A" w:rsidRDefault="00000000">
      <w:pPr>
        <w:pStyle w:val="Listepuces"/>
        <w:spacing w:before="30" w:after="30"/>
        <w:ind w:hanging="180"/>
      </w:pPr>
      <w:r>
        <w:rPr>
          <w:color w:val="262626"/>
        </w:rPr>
        <w:t xml:space="preserve">Pilotage de la première année de production réelle d’IFRS 9 ; refonte des interfaces de reporting ; réduction du délai de clôture de </w:t>
      </w:r>
      <w:r>
        <w:rPr>
          <w:b/>
          <w:color w:val="262626"/>
        </w:rPr>
        <w:t>J+5 à J+3</w:t>
      </w:r>
      <w:r>
        <w:rPr>
          <w:color w:val="262626"/>
        </w:rPr>
        <w:t xml:space="preserve"> grâce à </w:t>
      </w:r>
      <w:r>
        <w:rPr>
          <w:b/>
          <w:color w:val="262626"/>
        </w:rPr>
        <w:t>SAP S/4HANA</w:t>
      </w:r>
      <w:r>
        <w:rPr>
          <w:color w:val="262626"/>
        </w:rPr>
        <w:t xml:space="preserve"> interface automation et refonte de la chaîne de reporting SAP→SAP BFC.</w:t>
      </w:r>
    </w:p>
    <w:p w14:paraId="578FA80D" w14:textId="77777777" w:rsidR="009C000A" w:rsidRDefault="00000000">
      <w:pPr>
        <w:pStyle w:val="Listepuces"/>
        <w:spacing w:before="30" w:after="30"/>
        <w:ind w:hanging="180"/>
      </w:pPr>
      <w:r>
        <w:rPr>
          <w:color w:val="262626"/>
        </w:rPr>
        <w:t xml:space="preserve">Industrialisation du processus R2R : </w:t>
      </w:r>
      <w:r>
        <w:rPr>
          <w:b/>
          <w:color w:val="262626"/>
        </w:rPr>
        <w:t>Power Query</w:t>
      </w:r>
      <w:r>
        <w:rPr>
          <w:color w:val="262626"/>
        </w:rPr>
        <w:t xml:space="preserve"> pour les données mensuelles CACEIS (réconciliation comptable/gestion, réconciliation SAP/CACEIS, analyse des écarts de change, contrôles de prix) ; </w:t>
      </w:r>
      <w:r>
        <w:rPr>
          <w:b/>
          <w:color w:val="262626"/>
        </w:rPr>
        <w:t>macros VBA</w:t>
      </w:r>
      <w:r>
        <w:rPr>
          <w:color w:val="262626"/>
        </w:rPr>
        <w:t xml:space="preserve"> pour la conversion des formats dépositaire vers SAP ; </w:t>
      </w:r>
      <w:r>
        <w:rPr>
          <w:b/>
          <w:color w:val="262626"/>
        </w:rPr>
        <w:t>SAP FC Publisher</w:t>
      </w:r>
      <w:r>
        <w:rPr>
          <w:color w:val="262626"/>
        </w:rPr>
        <w:t xml:space="preserve"> pour l’automatisation des requêtes de consolidation BFC sur ~20 entités internationales.</w:t>
      </w:r>
    </w:p>
    <w:p w14:paraId="3D2EDA1B" w14:textId="77777777" w:rsidR="009C000A" w:rsidRDefault="00000000">
      <w:pPr>
        <w:pStyle w:val="Listepuces"/>
        <w:spacing w:before="30" w:after="30"/>
        <w:ind w:hanging="180"/>
      </w:pPr>
      <w:r>
        <w:rPr>
          <w:color w:val="262626"/>
        </w:rPr>
        <w:t xml:space="preserve">Livraison d’un tableau de bord consolidé </w:t>
      </w:r>
      <w:r>
        <w:rPr>
          <w:b/>
          <w:color w:val="262626"/>
        </w:rPr>
        <w:t>Power BI</w:t>
      </w:r>
      <w:r>
        <w:rPr>
          <w:color w:val="262626"/>
        </w:rPr>
        <w:t xml:space="preserve"> d’investissement pour le reporting CxO, en remplacement des processus manuels.</w:t>
      </w:r>
    </w:p>
    <w:p w14:paraId="4972206A" w14:textId="77777777" w:rsidR="009C000A" w:rsidRDefault="00000000">
      <w:pPr>
        <w:spacing w:before="80" w:after="20"/>
        <w:ind w:left="180"/>
      </w:pPr>
      <w:r>
        <w:rPr>
          <w:b/>
          <w:color w:val="2E75B6"/>
        </w:rPr>
        <w:t>Première mission (mai 2017 – mai 2018)</w:t>
      </w:r>
    </w:p>
    <w:p w14:paraId="3A525DD9" w14:textId="77777777" w:rsidR="009C000A" w:rsidRDefault="00000000">
      <w:pPr>
        <w:pStyle w:val="Listepuces"/>
        <w:spacing w:before="30" w:after="30"/>
        <w:ind w:hanging="180"/>
      </w:pPr>
      <w:r>
        <w:rPr>
          <w:color w:val="262626"/>
        </w:rPr>
        <w:t>Responsable Comptabilité Technique — production de la comptabilité des placements, reporting réglementaire, refonte du modèle opératoire.</w:t>
      </w:r>
    </w:p>
    <w:p w14:paraId="04E7116C" w14:textId="77777777" w:rsidR="009C000A" w:rsidRDefault="00000000">
      <w:pPr>
        <w:pStyle w:val="Listepuces"/>
        <w:spacing w:before="30" w:after="30"/>
        <w:ind w:hanging="180"/>
      </w:pPr>
      <w:r>
        <w:rPr>
          <w:color w:val="262626"/>
        </w:rPr>
        <w:t xml:space="preserve">Conception d’une plateforme partagée de </w:t>
      </w:r>
      <w:r>
        <w:rPr>
          <w:b/>
          <w:color w:val="262626"/>
        </w:rPr>
        <w:t>données d’investissement sous SAS</w:t>
      </w:r>
      <w:r>
        <w:rPr>
          <w:color w:val="262626"/>
        </w:rPr>
        <w:t>, couvrant le sourcing des données, l’architecture du modèle de données, les contrôles qualité et le reporting de gestion ; cette plateforme a servi de socle à l’ensemble des travaux analytiques ultérieurs, dont le modèle ECL IFRS 9 déployé en 2020.</w:t>
      </w:r>
    </w:p>
    <w:p w14:paraId="2F940991" w14:textId="77777777" w:rsidR="009C000A" w:rsidRDefault="009C000A">
      <w:pPr>
        <w:pBdr>
          <w:bottom w:val="single" w:sz="4" w:space="1" w:color="D6E4F0"/>
        </w:pBdr>
        <w:spacing w:after="0" w:line="240" w:lineRule="auto"/>
      </w:pPr>
    </w:p>
    <w:p w14:paraId="5D3FD564" w14:textId="77777777" w:rsidR="009C000A" w:rsidRDefault="00000000">
      <w:pPr>
        <w:spacing w:before="160" w:after="30"/>
      </w:pPr>
      <w:r>
        <w:rPr>
          <w:b/>
          <w:color w:val="1F3864"/>
          <w:sz w:val="21"/>
        </w:rPr>
        <w:t>Coface — Direction Financière Groupe (première mission)</w:t>
      </w:r>
      <w:r>
        <w:rPr>
          <w:color w:val="595959"/>
        </w:rPr>
        <w:t xml:space="preserve">  ·  mai 2004 – oct. 2005  (18 mois)</w:t>
      </w:r>
    </w:p>
    <w:p w14:paraId="74EA55BC" w14:textId="77777777" w:rsidR="009C000A" w:rsidRDefault="00000000">
      <w:pPr>
        <w:spacing w:after="60"/>
      </w:pPr>
      <w:r>
        <w:rPr>
          <w:b/>
          <w:i/>
          <w:color w:val="2E75B6"/>
        </w:rPr>
        <w:t>Responsable Comptabilité Technique et Provisionnement</w:t>
      </w:r>
    </w:p>
    <w:p w14:paraId="5CE80987" w14:textId="77777777" w:rsidR="009C000A" w:rsidRDefault="00000000">
      <w:pPr>
        <w:pStyle w:val="Listepuces"/>
        <w:spacing w:before="30" w:after="30"/>
        <w:ind w:hanging="180"/>
      </w:pPr>
      <w:r>
        <w:rPr>
          <w:color w:val="262626"/>
        </w:rPr>
        <w:t>Pilotage de la comptabilité technique (spécifique assurance) et du provisionnement sur un groupe d’assurance multi-entités.</w:t>
      </w:r>
    </w:p>
    <w:p w14:paraId="4CC26007" w14:textId="77777777" w:rsidR="009C000A" w:rsidRDefault="00000000">
      <w:pPr>
        <w:pStyle w:val="Listepuces"/>
        <w:spacing w:before="30" w:after="30"/>
        <w:ind w:hanging="180"/>
      </w:pPr>
      <w:r>
        <w:rPr>
          <w:color w:val="262626"/>
        </w:rPr>
        <w:t xml:space="preserve">Conception et mise en œuvre de la </w:t>
      </w:r>
      <w:r>
        <w:rPr>
          <w:b/>
          <w:color w:val="262626"/>
        </w:rPr>
        <w:t>méthode de provisionnement stochastique Bornhuetter-Ferguson</w:t>
      </w:r>
      <w:r>
        <w:rPr>
          <w:color w:val="262626"/>
        </w:rPr>
        <w:t xml:space="preserve"> — remplaçant l’estimation manuelle par un modèle quantitatif structuré.</w:t>
      </w:r>
    </w:p>
    <w:p w14:paraId="57EABA2B" w14:textId="77777777" w:rsidR="009C000A" w:rsidRDefault="00000000">
      <w:pPr>
        <w:pStyle w:val="Listepuces"/>
        <w:spacing w:before="30" w:after="30"/>
        <w:ind w:hanging="180"/>
      </w:pPr>
      <w:r>
        <w:rPr>
          <w:color w:val="262626"/>
        </w:rPr>
        <w:t>Coordination des parties prenantes comptables, actuarielles et opérationnelles ; accélération du processus de clôture. Réconciliations intersociétés et coordination avec la Direction Financière Groupe.</w:t>
      </w:r>
    </w:p>
    <w:p w14:paraId="62F4E45A" w14:textId="77777777" w:rsidR="009C000A" w:rsidRDefault="009C000A">
      <w:pPr>
        <w:pBdr>
          <w:bottom w:val="single" w:sz="4" w:space="1" w:color="D6E4F0"/>
        </w:pBdr>
        <w:spacing w:after="0" w:line="240" w:lineRule="auto"/>
      </w:pPr>
    </w:p>
    <w:p w14:paraId="67E93DA4" w14:textId="77777777" w:rsidR="009C000A" w:rsidRDefault="00000000">
      <w:pPr>
        <w:spacing w:before="160" w:after="30"/>
      </w:pPr>
      <w:r>
        <w:rPr>
          <w:b/>
          <w:color w:val="1F3864"/>
          <w:sz w:val="21"/>
        </w:rPr>
        <w:t>Clearwater Analytics</w:t>
      </w:r>
      <w:r>
        <w:rPr>
          <w:color w:val="595959"/>
        </w:rPr>
        <w:t xml:space="preserve">  ·  nov. 2024 – avr. 2026  (18 mois)</w:t>
      </w:r>
    </w:p>
    <w:p w14:paraId="79EE9A76" w14:textId="77777777" w:rsidR="009C000A" w:rsidRDefault="00000000">
      <w:pPr>
        <w:spacing w:after="60"/>
      </w:pPr>
      <w:r>
        <w:rPr>
          <w:b/>
          <w:i/>
          <w:color w:val="2E75B6"/>
        </w:rPr>
        <w:t>Senior Programme Manager — Plateforme d’Investissement &amp; Reporting Solvabilité II</w:t>
      </w:r>
    </w:p>
    <w:p w14:paraId="51A8918F" w14:textId="77777777" w:rsidR="009C000A" w:rsidRDefault="00000000">
      <w:pPr>
        <w:pStyle w:val="Listepuces"/>
        <w:spacing w:before="30" w:after="30"/>
        <w:ind w:hanging="180"/>
      </w:pPr>
      <w:r>
        <w:rPr>
          <w:color w:val="262626"/>
        </w:rPr>
        <w:t>Pilotage de bout en bout du déploiement d’une plateforme d’investissement cloud-native (</w:t>
      </w:r>
      <w:r>
        <w:rPr>
          <w:b/>
          <w:color w:val="262626"/>
        </w:rPr>
        <w:t>Clearwater Analytics SaaS</w:t>
      </w:r>
      <w:r>
        <w:rPr>
          <w:color w:val="262626"/>
        </w:rPr>
        <w:t>, €11bn AUM) pour un réassureur français, incluant le module de reporting Solvabilité II, la conception comptable French GAAP et l’intégration avec le GL SAP.</w:t>
      </w:r>
    </w:p>
    <w:p w14:paraId="4AE4FBFB" w14:textId="77777777" w:rsidR="009C000A" w:rsidRDefault="00000000">
      <w:pPr>
        <w:pStyle w:val="Listepuces"/>
        <w:spacing w:before="30" w:after="30"/>
        <w:ind w:hanging="180"/>
      </w:pPr>
      <w:r>
        <w:rPr>
          <w:color w:val="262626"/>
        </w:rPr>
        <w:t xml:space="preserve">Livraison d’un </w:t>
      </w:r>
      <w:r>
        <w:rPr>
          <w:b/>
          <w:color w:val="262626"/>
        </w:rPr>
        <w:t>STP (Straight-Through Processing)</w:t>
      </w:r>
      <w:r>
        <w:rPr>
          <w:color w:val="262626"/>
        </w:rPr>
        <w:t xml:space="preserve"> complet, de la gestion des ordres à la production comptable jusqu’au reporting QRT Solvabilité II — cycle de clôture réduit de J+4 à J+2.</w:t>
      </w:r>
    </w:p>
    <w:p w14:paraId="4DA3AEA4" w14:textId="77777777" w:rsidR="009C000A" w:rsidRDefault="00000000">
      <w:pPr>
        <w:pStyle w:val="Listepuces"/>
        <w:spacing w:before="30" w:after="30"/>
        <w:ind w:hanging="180"/>
      </w:pPr>
      <w:r>
        <w:rPr>
          <w:color w:val="262626"/>
        </w:rPr>
        <w:t xml:space="preserve">Déploiement d’un </w:t>
      </w:r>
      <w:r>
        <w:rPr>
          <w:b/>
          <w:color w:val="262626"/>
        </w:rPr>
        <w:t>dispositif de contrôle propulsé par l’IA</w:t>
      </w:r>
      <w:r>
        <w:rPr>
          <w:color w:val="262626"/>
        </w:rPr>
        <w:t xml:space="preserve"> (suivi des variations de prix, réconciliation tripartite FO/BO/dépositaire assistée par IA, traitement automatisé des fonds fermés) — supprimant les workflows de contrôle manuels.</w:t>
      </w:r>
    </w:p>
    <w:p w14:paraId="1B6F96FB" w14:textId="77777777" w:rsidR="009C000A" w:rsidRDefault="00000000">
      <w:pPr>
        <w:pStyle w:val="Listepuces"/>
        <w:spacing w:before="30" w:after="30"/>
        <w:ind w:hanging="180"/>
      </w:pPr>
      <w:r>
        <w:rPr>
          <w:color w:val="262626"/>
        </w:rPr>
        <w:t>Supervision de la conception du reporting Solvabilité II et des chantiers comptables tout au long des phases d’UAT et de go-live.</w:t>
      </w:r>
    </w:p>
    <w:p w14:paraId="22FFE703" w14:textId="77777777" w:rsidR="009C000A" w:rsidRDefault="00000000">
      <w:pPr>
        <w:pStyle w:val="Listepuces"/>
        <w:spacing w:before="30" w:after="30"/>
        <w:ind w:hanging="180"/>
      </w:pPr>
      <w:r>
        <w:rPr>
          <w:color w:val="262626"/>
        </w:rPr>
        <w:t>Pilotage de la gouvernance C-suite (Sponsor Committees, SteerCo bilingue), RAID log (10+ risques critiques), go-live OMS/Jump (déc. 2025) et coordination de l’Hypercare.</w:t>
      </w:r>
    </w:p>
    <w:p w14:paraId="4E4E3109" w14:textId="77777777" w:rsidR="009C000A" w:rsidRDefault="009C000A">
      <w:pPr>
        <w:pBdr>
          <w:bottom w:val="single" w:sz="4" w:space="1" w:color="D6E4F0"/>
        </w:pBdr>
        <w:spacing w:after="0" w:line="240" w:lineRule="auto"/>
      </w:pPr>
    </w:p>
    <w:p w14:paraId="28BC0308" w14:textId="77777777" w:rsidR="009C000A" w:rsidRDefault="00000000">
      <w:pPr>
        <w:spacing w:before="160" w:after="30"/>
      </w:pPr>
      <w:r>
        <w:rPr>
          <w:b/>
          <w:color w:val="1F3864"/>
          <w:sz w:val="21"/>
        </w:rPr>
        <w:t>CNP Assurances</w:t>
      </w:r>
      <w:r>
        <w:rPr>
          <w:color w:val="595959"/>
        </w:rPr>
        <w:t xml:space="preserve">  ·  mai 2013 – mai 2018  (5 ans)</w:t>
      </w:r>
    </w:p>
    <w:p w14:paraId="4FCD1ECD" w14:textId="77777777" w:rsidR="009C000A" w:rsidRDefault="00000000">
      <w:pPr>
        <w:spacing w:after="60"/>
      </w:pPr>
      <w:r>
        <w:rPr>
          <w:b/>
          <w:i/>
          <w:color w:val="2E75B6"/>
        </w:rPr>
        <w:t>Responsable de l'unité Production Financière &amp; Solvabilité II  /  Lead Business Owner — SimCorp Dimension</w:t>
      </w:r>
    </w:p>
    <w:p w14:paraId="0B237099" w14:textId="77777777" w:rsidR="009C000A" w:rsidRDefault="00000000">
      <w:pPr>
        <w:pStyle w:val="Listepuces"/>
        <w:spacing w:before="30" w:after="30"/>
        <w:ind w:hanging="180"/>
      </w:pPr>
      <w:r>
        <w:rPr>
          <w:color w:val="262626"/>
        </w:rPr>
        <w:t>Head of Financial Production &amp; Solvency II Unit (mai–déc. 2013) : a dirigé une équipe de 5 personnes en charge du reporting Solvabilité II, de la sensibilité de portefeuille et du reporting de performance ; a significativement renforcé le</w:t>
      </w:r>
      <w:r>
        <w:rPr>
          <w:b/>
          <w:color w:val="262626"/>
        </w:rPr>
        <w:t>Modèle de prévision de P&amp;L</w:t>
      </w:r>
      <w:r>
        <w:rPr>
          <w:color w:val="262626"/>
        </w:rPr>
        <w:t xml:space="preserve">— introduction des hypothèses de réinvestissement obligataire, modélisation de l'inflation pour les obligations indexées, hypothèses de rendement actions ; extension du périmètre au private equity, à l'immobilier et aux actifs fonciers. Lancement de la feuille de route de migration depuis l'existant </w:t>
      </w:r>
      <w:r>
        <w:rPr>
          <w:b/>
          <w:color w:val="262626"/>
        </w:rPr>
        <w:t>Access</w:t>
      </w:r>
      <w:r>
        <w:rPr>
          <w:color w:val="262626"/>
        </w:rPr>
        <w:t>vers des outils</w:t>
      </w:r>
      <w:r>
        <w:rPr>
          <w:b/>
          <w:color w:val="262626"/>
        </w:rPr>
        <w:t>SAS</w:t>
      </w:r>
      <w:r>
        <w:rPr>
          <w:color w:val="262626"/>
        </w:rPr>
        <w:t xml:space="preserve"> (moteur de calcul) et </w:t>
      </w:r>
      <w:r>
        <w:rPr>
          <w:b/>
          <w:color w:val="262626"/>
        </w:rPr>
        <w:t>QlikView</w:t>
      </w:r>
      <w:r>
        <w:rPr>
          <w:color w:val="262626"/>
        </w:rPr>
        <w:t>(tableaux de bord de gestion).</w:t>
      </w:r>
    </w:p>
    <w:p w14:paraId="69A3540D" w14:textId="77777777" w:rsidR="009C000A" w:rsidRDefault="00000000">
      <w:pPr>
        <w:pStyle w:val="Listepuces"/>
        <w:spacing w:before="30" w:after="30"/>
        <w:ind w:hanging="180"/>
      </w:pPr>
      <w:r>
        <w:rPr>
          <w:color w:val="262626"/>
        </w:rPr>
        <w:t xml:space="preserve">Lead Business Owner pour </w:t>
      </w:r>
      <w:r>
        <w:rPr>
          <w:b/>
          <w:color w:val="262626"/>
        </w:rPr>
        <w:t>SimCorp Dimension</w:t>
      </w:r>
      <w:r>
        <w:rPr>
          <w:color w:val="262626"/>
        </w:rPr>
        <w:t>mise en œuvre (janv. 2014 – mai 2018, ~350 Mds € d'AUM) : pilotage de la conception fonctionnelle, des schémas comptables, des contrôles, de l'architecture de reporting Solvency II, des UAT et du go-live pour la plateforme de comptabilité des placements.</w:t>
      </w:r>
    </w:p>
    <w:p w14:paraId="39DC78F3" w14:textId="77777777" w:rsidR="009C000A" w:rsidRDefault="009C000A">
      <w:pPr>
        <w:pBdr>
          <w:bottom w:val="single" w:sz="4" w:space="1" w:color="D6E4F0"/>
        </w:pBdr>
        <w:spacing w:after="0" w:line="240" w:lineRule="auto"/>
      </w:pPr>
    </w:p>
    <w:p w14:paraId="5A18D047" w14:textId="77777777" w:rsidR="009C000A" w:rsidRDefault="00000000">
      <w:pPr>
        <w:spacing w:before="160" w:after="30"/>
      </w:pPr>
      <w:r>
        <w:rPr>
          <w:b/>
          <w:color w:val="1F3864"/>
          <w:sz w:val="21"/>
        </w:rPr>
        <w:t>Primexis / SCOR / Mazars</w:t>
      </w:r>
      <w:r>
        <w:rPr>
          <w:color w:val="595959"/>
        </w:rPr>
        <w:t xml:space="preserve">  ·  Sep 1999 – Apr 2013</w:t>
      </w:r>
    </w:p>
    <w:p w14:paraId="04FB1102" w14:textId="77777777" w:rsidR="009C000A" w:rsidRDefault="00000000">
      <w:pPr>
        <w:spacing w:after="60"/>
      </w:pPr>
      <w:r>
        <w:rPr>
          <w:b/>
          <w:i/>
          <w:color w:val="2E75B6"/>
        </w:rPr>
        <w:t>Début de carrière — Conseil en assurance, audit et transformation</w:t>
      </w:r>
    </w:p>
    <w:p w14:paraId="2EC82BB5" w14:textId="77777777" w:rsidR="009C000A" w:rsidRDefault="00000000">
      <w:pPr>
        <w:pStyle w:val="Listepuces"/>
        <w:spacing w:before="30" w:after="30"/>
        <w:ind w:hanging="180"/>
      </w:pPr>
      <w:r>
        <w:rPr>
          <w:color w:val="262626"/>
        </w:rPr>
        <w:t xml:space="preserve">Mazars (1999–2004) : Audit Manager — Assurance &amp; Réassurance. </w:t>
      </w:r>
      <w:r>
        <w:rPr>
          <w:b/>
          <w:color w:val="262626"/>
        </w:rPr>
        <w:t>Audit statutaire, contrôle interne, due diligence et revues de provisionnement.</w:t>
      </w:r>
      <w:r>
        <w:rPr>
          <w:color w:val="262626"/>
        </w:rPr>
        <w:t>Forte exposition à la comptabilité spécifique à l'assurance, aux provisions techniques et aux contrôles de la fonction investissement.</w:t>
      </w:r>
    </w:p>
    <w:p w14:paraId="50417826" w14:textId="77777777" w:rsidR="009C000A" w:rsidRDefault="00000000">
      <w:pPr>
        <w:pStyle w:val="Listepuces"/>
        <w:spacing w:before="30" w:after="30"/>
        <w:ind w:hanging="180"/>
      </w:pPr>
      <w:r>
        <w:rPr>
          <w:color w:val="262626"/>
        </w:rPr>
        <w:t xml:space="preserve">SCOR (2005–2008) : Responsable de la Consolidation Groupe (IFRS + US GAAP trimestrielle/annuelle) et Responsable des Projets de Transformation, Département Investissement — </w:t>
      </w:r>
      <w:r>
        <w:rPr>
          <w:b/>
          <w:color w:val="262626"/>
        </w:rPr>
        <w:t>a piloté la sélection de SimCorp Dimension et le RFI/RFP</w:t>
      </w:r>
      <w:r>
        <w:rPr>
          <w:color w:val="262626"/>
        </w:rPr>
        <w:t>; budget projet 3 M€/an.</w:t>
      </w:r>
    </w:p>
    <w:p w14:paraId="7AAB28E3" w14:textId="77777777" w:rsidR="009C000A" w:rsidRDefault="00000000">
      <w:pPr>
        <w:pStyle w:val="Listepuces"/>
        <w:spacing w:before="30" w:after="30"/>
        <w:ind w:hanging="180"/>
      </w:pPr>
      <w:r>
        <w:rPr>
          <w:color w:val="262626"/>
        </w:rPr>
        <w:t xml:space="preserve">Primexis (2008–2013) : Directeur associé — a développé une practice Assurance de 20 consultants (3 M€ de chiffre d'affaires, 10 clients). En parallèle, PM SimCorp chez SCOR Investment Partners (20 Md€ AUM) : a conçu et mis en œuvre </w:t>
      </w:r>
      <w:r>
        <w:rPr>
          <w:b/>
          <w:color w:val="262626"/>
        </w:rPr>
        <w:t>Automatisation du look-through Solvency II</w:t>
      </w:r>
      <w:r>
        <w:rPr>
          <w:color w:val="262626"/>
        </w:rPr>
        <w:t>pour les fonds UCITS — consolidation automatisée des actifs sous-jacents, calculs de sensibilités et transparisation selon 3 dimensions (actifs sous-jacents, sensibilités, Solvabilité II).</w:t>
      </w:r>
    </w:p>
    <w:p w14:paraId="134C7990" w14:textId="77777777" w:rsidR="009C000A" w:rsidRDefault="00000000">
      <w:pPr>
        <w:shd w:val="clear" w:color="auto" w:fill="2E75B6"/>
        <w:spacing w:before="200" w:after="80"/>
      </w:pPr>
      <w:r>
        <w:rPr>
          <w:b/>
          <w:color w:val="FFFFFF"/>
          <w:sz w:val="22"/>
        </w:rPr>
        <w:t xml:space="preserve">  FORMATION &amp; QUALIFICATIONS</w:t>
      </w:r>
    </w:p>
    <w:p w14:paraId="77E04EC5" w14:textId="77777777" w:rsidR="009C000A" w:rsidRDefault="00000000">
      <w:pPr>
        <w:spacing w:before="50" w:after="50"/>
        <w:ind w:left="180"/>
      </w:pPr>
      <w:r>
        <w:rPr>
          <w:b/>
          <w:color w:val="1F3864"/>
        </w:rPr>
        <w:t>ESCP Business School</w:t>
      </w:r>
      <w:r>
        <w:rPr>
          <w:color w:val="262626"/>
        </w:rPr>
        <w:t xml:space="preserve">  —  Grande École — Master in Management  |  Option : Finance  |  1991–1995</w:t>
      </w:r>
      <w:r>
        <w:rPr>
          <w:color w:val="595959"/>
          <w:sz w:val="18"/>
        </w:rPr>
      </w:r>
    </w:p>
    <w:p w14:paraId="733AC403" w14:textId="77777777" w:rsidR="009C000A" w:rsidRDefault="00000000">
      <w:pPr>
        <w:spacing w:before="50" w:after="50"/>
        <w:ind w:left="180"/>
      </w:pPr>
      <w:r>
        <w:rPr>
          <w:b/>
          <w:color w:val="1F3864"/>
        </w:rPr>
        <w:t>Centre d'Études Actuarielles, Paris</w:t>
      </w:r>
      <w:r>
        <w:rPr>
          <w:color w:val="262626"/>
        </w:rPr>
        <w:t xml:space="preserve">  —  Master en sciences actuarielles  |  2002–2004</w:t>
      </w:r>
      <w:r>
        <w:rPr>
          <w:color w:val="595959"/>
          <w:sz w:val="18"/>
        </w:rPr>
      </w:r>
    </w:p>
    <w:p w14:paraId="307EAF3C" w14:textId="77777777" w:rsidR="009C000A" w:rsidRDefault="00000000">
      <w:pPr>
        <w:spacing w:before="50" w:after="50"/>
        <w:ind w:left="180"/>
      </w:pPr>
      <w:r>
        <w:rPr>
          <w:b/>
          <w:color w:val="1F3864"/>
        </w:rPr>
        <w:t>ENOES — École de l'Expertise Comptable</w:t>
      </w:r>
      <w:r>
        <w:rPr>
          <w:color w:val="262626"/>
        </w:rPr>
        <w:t xml:space="preserve">  —  D.E.C.F. (équivalent français du CPA)  |  2001</w:t>
      </w:r>
      <w:r>
        <w:rPr>
          <w:color w:val="595959"/>
          <w:sz w:val="18"/>
        </w:rPr>
      </w:r>
    </w:p>
    <w:p w14:paraId="07156C4A" w14:textId="77777777" w:rsidR="009C000A" w:rsidRDefault="00000000">
      <w:pPr>
        <w:spacing w:before="50" w:after="50"/>
        <w:ind w:left="180"/>
      </w:pPr>
      <w:r>
        <w:rPr>
          <w:b/>
          <w:color w:val="1F3864"/>
        </w:rPr>
        <w:t>Université Paris Dauphine – PSL</w:t>
      </w:r>
      <w:r>
        <w:rPr>
          <w:color w:val="262626"/>
        </w:rPr>
        <w:t xml:space="preserve">  —  Master in Economics  |  1995–1996</w:t>
      </w:r>
      <w:r>
        <w:rPr>
          <w:color w:val="595959"/>
          <w:sz w:val="18"/>
        </w:rPr>
      </w:r>
    </w:p>
    <w:p w14:paraId="5BE7FE0A" w14:textId="77777777" w:rsidR="009C000A" w:rsidRDefault="00000000">
      <w:pPr>
        <w:spacing w:before="50" w:after="50"/>
        <w:ind w:left="180"/>
      </w:pPr>
      <w:r>
        <w:rPr>
          <w:b/>
          <w:color w:val="1F3864"/>
        </w:rPr>
        <w:t>Project Management Institute</w:t>
      </w:r>
      <w:r>
        <w:rPr>
          <w:color w:val="262626"/>
        </w:rPr>
        <w:t xml:space="preserve">  —  PMP® — Project Management Professional (active)</w:t>
      </w:r>
    </w:p>
    <w:p w14:paraId="6E09B772" w14:textId="77777777" w:rsidR="009C000A" w:rsidRDefault="00000000">
      <w:pPr>
        <w:spacing w:before="50" w:after="50"/>
        <w:ind w:left="180"/>
      </w:pPr>
      <w:r>
        <w:rPr>
          <w:b/>
          <w:color w:val="1F3864"/>
        </w:rPr>
        <w:t>Certifications</w:t>
      </w:r>
      <w:r>
        <w:rPr>
          <w:color w:val="262626"/>
        </w:rPr>
        <w:t xml:space="preserve">  —  Generative AI Primer  |  GenAI for Account Executives</w:t>
      </w:r>
    </w:p>
    <w:p w14:paraId="05CF8D40" w14:textId="77777777" w:rsidR="009C000A" w:rsidRDefault="00000000">
      <w:pPr>
        <w:shd w:val="clear" w:color="auto" w:fill="2E75B6"/>
        <w:spacing w:before="200" w:after="80"/>
      </w:pPr>
      <w:r>
        <w:rPr>
          <w:b/>
          <w:color w:val="FFFFFF"/>
          <w:sz w:val="22"/>
        </w:rPr>
        <w:t xml:space="preserve">  LANGUES &amp; DISPONIBILITÉ</w:t>
      </w:r>
    </w:p>
    <w:p w14:paraId="066A74E5" w14:textId="77777777" w:rsidR="009C000A" w:rsidRDefault="00000000">
      <w:pPr>
        <w:spacing w:before="80" w:after="80"/>
        <w:ind w:left="180"/>
      </w:pPr>
      <w:r>
        <w:rPr>
          <w:color w:val="262626"/>
        </w:rPr>
        <w:t>Français : langue maternelle  |  Anglais : courant professionnel (C1/C2)  |  Espagnol &amp; Italien : notions élémentaires  |  Allemand : professionnel limité</w:t>
      </w:r>
    </w:p>
    <w:p w14:paraId="3D1321D9" w14:textId="77777777" w:rsidR="009C000A" w:rsidRDefault="00000000">
      <w:pPr>
        <w:spacing w:after="80"/>
        <w:ind w:left="180"/>
      </w:pPr>
      <w:r>
        <w:rPr>
          <w:color w:val="262626"/>
        </w:rPr>
        <w:t>Disponible : mai 2026  |  Format : télétravail privilégié, hybride envisageable  |  Zone géographique : France, UK, Europe continentale, Amérique du Nord, APAC</w:t>
      </w:r>
    </w:p>
    <w:sectPr w:rsidR="009C000A"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D675BFE"/>
    <w:multiLevelType w:val="hybridMultilevel"/>
    <w:tmpl w:val="E7625896"/>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hint="default"/>
      </w:rPr>
    </w:lvl>
    <w:lvl w:ilvl="8" w:tplc="040C0005" w:tentative="1">
      <w:start w:val="1"/>
      <w:numFmt w:val="bullet"/>
      <w:lvlText w:val=""/>
      <w:lvlJc w:val="left"/>
      <w:pPr>
        <w:ind w:left="6600" w:hanging="360"/>
      </w:pPr>
      <w:rPr>
        <w:rFonts w:ascii="Wingdings" w:hAnsi="Wingdings" w:hint="default"/>
      </w:rPr>
    </w:lvl>
  </w:abstractNum>
  <w:num w:numId="1" w16cid:durableId="1645233785">
    <w:abstractNumId w:val="8"/>
  </w:num>
  <w:num w:numId="2" w16cid:durableId="1855145013">
    <w:abstractNumId w:val="6"/>
  </w:num>
  <w:num w:numId="3" w16cid:durableId="2056541472">
    <w:abstractNumId w:val="5"/>
  </w:num>
  <w:num w:numId="4" w16cid:durableId="2133473075">
    <w:abstractNumId w:val="4"/>
  </w:num>
  <w:num w:numId="5" w16cid:durableId="2002266668">
    <w:abstractNumId w:val="7"/>
  </w:num>
  <w:num w:numId="6" w16cid:durableId="2014528749">
    <w:abstractNumId w:val="3"/>
  </w:num>
  <w:num w:numId="7" w16cid:durableId="840196191">
    <w:abstractNumId w:val="2"/>
  </w:num>
  <w:num w:numId="8" w16cid:durableId="206986979">
    <w:abstractNumId w:val="1"/>
  </w:num>
  <w:num w:numId="9" w16cid:durableId="1247614702">
    <w:abstractNumId w:val="0"/>
  </w:num>
  <w:num w:numId="10" w16cid:durableId="2053767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000A"/>
    <w:rsid w:val="00AA1D8D"/>
    <w:rsid w:val="00B47730"/>
    <w:rsid w:val="00CB0664"/>
    <w:rsid w:val="00CF0009"/>
    <w:rsid w:val="00E35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8C0B9"/>
  <w14:defaultImageDpi w14:val="300"/>
  <w15:docId w15:val="{41C14C36-5BC1-D948-B300-F6256751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1630</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Robitaille</cp:lastModifiedBy>
  <cp:revision>2</cp:revision>
  <dcterms:created xsi:type="dcterms:W3CDTF">2013-12-23T23:15:00Z</dcterms:created>
  <dcterms:modified xsi:type="dcterms:W3CDTF">2026-05-11T14:22:00Z</dcterms:modified>
  <cp:category/>
</cp:coreProperties>
</file>