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1C7445" w14:textId="1A311416" w:rsidR="004B17F9" w:rsidRDefault="00000000">
      <w:pPr>
        <w:shd w:val="clear" w:color="auto" w:fill="1F3864"/>
        <w:spacing w:after="0" w:line="240" w:lineRule="auto"/>
        <w:jc w:val="center"/>
      </w:pPr>
      <w:r>
        <w:rPr>
          <w:b/>
          <w:color w:val="FFFFFF"/>
          <w:sz w:val="32"/>
        </w:rPr>
        <w:t xml:space="preserve">XAVIER ROBITAILLE</w:t>
      </w:r>
    </w:p>
    <w:p w14:paraId="1EA547DF" w14:textId="424EED89" w:rsidR="004B17F9" w:rsidRDefault="00000000">
      <w:pPr>
        <w:shd w:val="clear" w:color="auto" w:fill="1F3864"/>
        <w:spacing w:after="0" w:line="240" w:lineRule="auto"/>
        <w:jc w:val="center"/>
      </w:pPr>
      <w:r>
        <w:rPr>
          <w:color w:val="D6E4F0"/>
        </w:rPr>
        <w:t xml:space="preserve">Consultant senior ABOR / comptabilité des placements  |  SimCorp Dimension  |  Clearwater Analytics</w:t>
      </w:r>
      <w:r>
        <w:rPr>
          <w:color w:val="D6E4F0"/>
        </w:rPr>
        <w:br/>
      </w:r>
      <w:r>
        <w:rPr>
          <w:color w:val="D6E4F0"/>
        </w:rPr>
        <w:t xml:space="preserve">Stream lead — implémentation, paramétrage et conseil client</w:t>
      </w:r>
    </w:p>
    <w:p w14:paraId="45C2F075" w14:textId="0C15FB1B" w:rsidR="004B17F9" w:rsidRDefault="00000000">
      <w:pPr>
        <w:shd w:val="clear" w:color="auto" w:fill="2E75B6"/>
        <w:spacing w:before="60" w:after="60" w:line="240" w:lineRule="auto"/>
        <w:jc w:val="center"/>
      </w:pPr>
      <w:r>
        <w:rPr>
          <w:color w:val="FFFFFF"/>
          <w:sz w:val="18"/>
        </w:rPr>
        <w:t xml:space="preserve">+33 6 64 89 09 43  |  xrobitaille92150@gmail.com  |  linkedin.com/in/xrobitaille  |  Paris, hybride - disponible immédiatement</w:t>
      </w:r>
    </w:p>
    <w:p w14:paraId="12706649" w14:textId="77777777" w:rsidR="00791555" w:rsidRPr="00791555" w:rsidRDefault="00000000" w:rsidP="00791555">
      <w:pPr>
        <w:spacing w:after="0" w:line="240" w:lineRule="auto"/>
        <w:rPr>
          <w:sz w:val="2"/>
          <w:szCs w:val="2"/>
        </w:rPr>
      </w:pPr>
      <w:r>
        <w:rPr>
          <w:sz w:val="2"/>
          <w:szCs w:val="2"/>
        </w:rPr>
        <w:t xml:space="preserve">  </w:t>
      </w:r>
    </w:p>
    <w:p w14:paraId="4C53F755" w14:textId="77777777" w:rsidR="0013741E" w:rsidRPr="0013741E" w:rsidRDefault="0013741E" w:rsidP="0013741E">
      <w:pPr>
        <w:rPr>
          <w:sz w:val="2"/>
          <w:szCs w:val="6"/>
        </w:rPr>
      </w:pPr>
    </w:p>
    <w:p w14:paraId="628F860E" w14:textId="7BC193E7" w:rsidR="004B17F9" w:rsidRDefault="00000000" w:rsidP="00791555">
      <w:pPr>
        <w:shd w:val="clear" w:color="auto" w:fill="2E75B6"/>
        <w:spacing w:after="80"/>
      </w:pPr>
      <w:r>
        <w:rPr>
          <w:b/>
          <w:color w:val="FFFFFF"/>
          <w:sz w:val="22"/>
        </w:rPr>
        <w:t xml:space="preserve">SYNTHÈSE</w:t>
      </w:r>
    </w:p>
    <w:p w14:paraId="1EBACD71" w14:textId="60F7E814" w:rsidR="00791555" w:rsidRPr="00791555" w:rsidRDefault="00000000" w:rsidP="00E97BD2">
      <w:pPr>
        <w:pStyle w:val="Paragraphedeliste"/>
        <w:numPr>
          <w:ilvl w:val="0"/>
          <w:numId w:val="10"/>
        </w:numPr>
        <w:spacing w:before="80" w:after="80"/>
        <w:ind w:left="142" w:right="120" w:hanging="142"/>
        <w:jc w:val="both"/>
      </w:pPr>
      <w:r>
        <w:rPr>
          <w:color w:val="262626"/>
        </w:rPr>
        <w:t xml:space="preserve">Consultant senior ABOR et stream lead, spécialisé en transformation de la </w:t>
      </w:r>
      <w:r>
        <w:rPr>
          <w:b/>
          <w:bCs/>
          <w:color w:val="262626"/>
        </w:rPr>
        <w:t xml:space="preserve">comptabilité des placements</w:t>
      </w:r>
      <w:r>
        <w:rPr>
          <w:color w:val="262626"/>
        </w:rPr>
        <w:t xml:space="preserve">, en implémentation et paramétrage de </w:t>
      </w:r>
      <w:r>
        <w:rPr>
          <w:b/>
          <w:bCs/>
          <w:color w:val="262626"/>
        </w:rPr>
        <w:t xml:space="preserve">SimCorp Dimension</w:t>
      </w:r>
      <w:r>
        <w:rPr>
          <w:color w:val="262626"/>
        </w:rPr>
        <w:t xml:space="preserve"> et en conception de </w:t>
      </w:r>
      <w:r>
        <w:rPr>
          <w:b/>
          <w:bCs/>
          <w:color w:val="262626"/>
        </w:rPr>
        <w:t xml:space="preserve">modèles opératoires front-to-back</w:t>
      </w:r>
      <w:r>
        <w:rPr>
          <w:color w:val="262626"/>
        </w:rPr>
        <w:t xml:space="preserve">. Plus de 25 ans en assurance, réassurance et gestion d'actifs, avec une expertise ABOR approfondie et une pratique de la relation client.</w:t>
      </w:r>
    </w:p>
    <w:p w14:paraId="1EBACD71" w14:textId="60F7E814" w:rsidR="00791555" w:rsidRPr="00791555" w:rsidRDefault="00000000" w:rsidP="00E97BD2">
      <w:pPr>
        <w:pStyle w:val="Paragraphedeliste"/>
        <w:numPr>
          <w:ilvl w:val="0"/>
          <w:numId w:val="10"/>
        </w:numPr>
        <w:spacing w:before="80" w:after="80"/>
        <w:ind w:left="142" w:right="120" w:hanging="142"/>
        <w:jc w:val="both"/>
      </w:pPr>
      <w:r>
        <w:rPr>
          <w:color w:val="262626"/>
        </w:rPr>
        <w:t xml:space="preserve">Plateformes : </w:t>
      </w:r>
      <w:r>
        <w:rPr>
          <w:b/>
          <w:bCs/>
          <w:color w:val="262626"/>
        </w:rPr>
        <w:t xml:space="preserve">SimCorp Dimension</w:t>
      </w:r>
      <w:r>
        <w:rPr>
          <w:color w:val="262626"/>
        </w:rPr>
        <w:t xml:space="preserve"> (CNP 350 Md€, SCOR IP 20 Md€ — dont paramétrage multi-référentiels) ; </w:t>
      </w:r>
      <w:r>
        <w:rPr>
          <w:b/>
          <w:bCs/>
          <w:color w:val="262626"/>
        </w:rPr>
        <w:t xml:space="preserve">Clearwater Analytics</w:t>
      </w:r>
      <w:r>
        <w:rPr>
          <w:color w:val="262626"/>
        </w:rPr>
        <w:t xml:space="preserve"> (2024–2026, 11 Md€) ; Bloomberg ; SAP S/4HANA ; SAS.</w:t>
      </w:r>
    </w:p>
    <w:p w14:paraId="1EBACD71" w14:textId="60F7E814" w:rsidR="00791555" w:rsidRPr="00791555" w:rsidRDefault="00000000" w:rsidP="00E97BD2">
      <w:pPr>
        <w:pStyle w:val="Paragraphedeliste"/>
        <w:numPr>
          <w:ilvl w:val="0"/>
          <w:numId w:val="10"/>
        </w:numPr>
        <w:spacing w:before="80" w:after="80"/>
        <w:ind w:left="142" w:right="120" w:hanging="142"/>
        <w:jc w:val="both"/>
      </w:pPr>
      <w:r>
        <w:rPr>
          <w:color w:val="262626"/>
        </w:rPr>
        <w:t xml:space="preserve">Missions types : </w:t>
      </w:r>
      <w:r>
        <w:rPr>
          <w:b/>
          <w:bCs/>
          <w:color w:val="262626"/>
        </w:rPr>
        <w:t xml:space="preserve">conception ABOR</w:t>
      </w:r>
      <w:r>
        <w:rPr>
          <w:color w:val="262626"/>
        </w:rPr>
        <w:t xml:space="preserve"> et implémentation de SimCorp Dimension, transformation de la </w:t>
      </w:r>
      <w:r>
        <w:rPr>
          <w:b/>
          <w:bCs/>
          <w:color w:val="262626"/>
        </w:rPr>
        <w:t xml:space="preserve">comptabilité des placements</w:t>
      </w:r>
      <w:r>
        <w:rPr>
          <w:color w:val="262626"/>
        </w:rPr>
        <w:t xml:space="preserve"> (IFRS 9 / normes françaises / Solvabilité II), règles comptables et schémas d'écritures, ateliers et analyse des besoins, cadrage et chiffrage, migration de données, coordination avec le dépositaire, STP, refonte de la clôture.</w:t>
      </w:r>
    </w:p>
    <w:p w14:paraId="1EBACD71" w14:textId="60F7E814" w:rsidR="00791555" w:rsidRPr="00791555" w:rsidRDefault="00000000" w:rsidP="00E97BD2">
      <w:pPr>
        <w:pStyle w:val="Paragraphedeliste"/>
        <w:numPr>
          <w:ilvl w:val="0"/>
          <w:numId w:val="10"/>
        </w:numPr>
        <w:spacing w:before="80" w:after="80"/>
        <w:ind w:left="142" w:right="120" w:hanging="142"/>
        <w:jc w:val="both"/>
      </w:pPr>
      <w:r>
        <w:rPr>
          <w:b/>
          <w:bCs/>
          <w:color w:val="262626"/>
        </w:rPr>
        <w:t xml:space="preserve">Bilingue français / anglais</w:t>
      </w:r>
      <w:r>
        <w:rPr>
          <w:color w:val="262626"/>
        </w:rPr>
        <w:t xml:space="preserve">. Basé à Paris ; missions hybrides en France et en Europe.</w:t>
      </w:r>
    </w:p>
    <w:p w14:paraId="7A2595E5" w14:textId="77777777" w:rsidR="004B17F9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EXPERTISE PLATEFORMES D'INVESTISSEMENT</w:t>
      </w:r>
    </w:p>
    <w:p w14:paraId="0EF47612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>
        <w:rPr>
          <w:b/>
          <w:color w:val="1F3864"/>
        </w:rPr>
        <w:t xml:space="preserve">SimCorp Dimension</w:t>
      </w:r>
      <w:r>
        <w:rPr>
          <w:color w:val="262626"/>
        </w:rPr>
        <w:t xml:space="preserve">  —  Lead Business Owner (CNP Assurances, 350 Md€) + chef de projet d'implémentation (SCOR Investment Partners, 20 Md€, 3,5 ans) — construction d'un ABOR multi-référentiels, détaillée ci-dessous</w:t>
      </w:r>
    </w:p>
    <w:p w14:paraId="0EF47612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>
        <w:rPr>
          <w:b/>
          <w:color w:val="1F3864"/>
        </w:rPr>
        <w:t xml:space="preserve">Clearwater Analytics</w:t>
      </w:r>
      <w:r>
        <w:rPr>
          <w:color w:val="262626"/>
        </w:rPr>
        <w:t xml:space="preserve">  —  Directeur de programme senior — CW CORE, OMS/Jump, LPx — 11 Md€, multi-dépositaires, STP, contrôles fondés sur l'IA, reporting Solvabilité II</w:t>
      </w:r>
    </w:p>
    <w:p w14:paraId="0EF47612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>
        <w:rPr>
          <w:b/>
          <w:color w:val="1F3864"/>
        </w:rPr>
        <w:t xml:space="preserve">Bloomberg</w:t>
      </w:r>
      <w:r>
        <w:rPr>
          <w:color w:val="262626"/>
        </w:rPr>
        <w:t xml:space="preserve">  —  TSOX, Data License — conception et recette des interfaces (SimCorp et Clearwater)</w:t>
      </w:r>
    </w:p>
    <w:p w14:paraId="0EF47612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>
        <w:rPr>
          <w:b/>
          <w:color w:val="1F3864"/>
        </w:rPr>
        <w:t xml:space="preserve">SAP S/4HANA</w:t>
      </w:r>
      <w:r>
        <w:rPr>
          <w:color w:val="262626"/>
        </w:rPr>
        <w:t xml:space="preserve">  —  Interfaces automatisées de comptabilité des placements et chaîne de reporting SAP → SAP BFC (Coface, Direction financière Groupe)</w:t>
      </w:r>
    </w:p>
    <w:p w14:paraId="0EF47612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>
        <w:rPr>
          <w:b/>
          <w:color w:val="1F3864"/>
        </w:rPr>
        <w:t xml:space="preserve">SAS</w:t>
      </w:r>
      <w:r>
        <w:rPr>
          <w:color w:val="262626"/>
        </w:rPr>
        <w:t xml:space="preserve">  —  Data Warehouse placements ; implémentation du modèle ECL IFRS 9 (Coface)</w:t>
      </w:r>
    </w:p>
    <w:p w14:paraId="0EF47612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>
        <w:rPr>
          <w:b/>
          <w:color w:val="1F3864"/>
        </w:rPr>
        <w:t xml:space="preserve">Autres</w:t>
      </w:r>
      <w:r>
        <w:rPr>
          <w:color w:val="262626"/>
        </w:rPr>
        <w:t xml:space="preserve">  —  CODA (GL), CACEIS et Neoxam GP3/GP4 (dépositaire), Linedata Chorus (système historique, remplacé deux fois)</w:t>
      </w:r>
    </w:p>
    <w:p w14:paraId="7A2595E5" w14:textId="77777777" w:rsidR="004B17F9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SIMCORP DIMENSION — CONSTRUCTION D'UN ABOR (SCOR IP ET CNP)</w:t>
      </w:r>
    </w:p>
    <w:p w14:paraId="0EF47612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>
        <w:rPr>
          <w:b/>
          <w:color w:val="1F3864"/>
        </w:rPr>
        <w:t xml:space="preserve">Cadrage et conception comptable</w:t>
      </w:r>
      <w:r>
        <w:rPr>
          <w:color w:val="262626"/>
        </w:rPr>
        <w:t xml:space="preserve">  —  cartographie des entités juridiques, portefeuilles, livres comptables et obligations de reporting ; séparation IFRS Groupe, normes françaises et normes locales ; périmètre des instruments, types de transactions et opérations sur titres ; politiques comptables pour obligations, actions, fonds, dérivés, prêts et trésorerie ; codes de destination, segments comptables et structure portefeuilles / groupes de portefeuilles pour le reporting local et consolidé</w:t>
      </w:r>
    </w:p>
    <w:p w14:paraId="0EF47612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>
        <w:rPr>
          <w:b/>
          <w:color w:val="1F3864"/>
        </w:rPr>
        <w:t xml:space="preserve">Paramétrage multi-référentiels (FAP / FAM)</w:t>
      </w:r>
      <w:r>
        <w:rPr>
          <w:color w:val="262626"/>
        </w:rPr>
        <w:t xml:space="preserve">  —  affectation et règles FAP par type d'instrument, segment comptable et clé de position ; ventilation des positions (coût, coupon couru, surcote/décote, plus ou moins-values latentes) ; trois référentiels en parallèle (IFRS, normes françaises, normes locales) rattachés à leurs FAM : coût amorti, juste valeur et TIE, amortissement en normes françaises, dépréciations et plus ou moins-values réalisées, règles locales ; frais de transaction, courus, change, retenues à la source, coupons, remboursements, calls et opérations sur titres ; validation FAP/FAM avant comptabilisation</w:t>
      </w:r>
    </w:p>
    <w:p w14:paraId="0EF47612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>
        <w:rPr>
          <w:b/>
          <w:color w:val="1F3864"/>
        </w:rPr>
        <w:t xml:space="preserve">Écritures et grand livre</w:t>
      </w:r>
      <w:r>
        <w:rPr>
          <w:color w:val="262626"/>
        </w:rPr>
        <w:t xml:space="preserve">  —  champs finance, Finance Schemes (logique débit/crédit, priorités et conditions) et Finance Account Assignments vers les comptes du grand livre avec axes analytiques (entité, portefeuille, devise, activité, référentiel), mappings distincts par référentiel ; traitements de comptabilisation, extractions comptables et interfaces vers les grands livres Groupe et locaux</w:t>
      </w:r>
    </w:p>
    <w:p w14:paraId="0EF47612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>
        <w:rPr>
          <w:b/>
          <w:color w:val="1F3864"/>
        </w:rPr>
        <w:t xml:space="preserve">Calcul, recette et run</w:t>
      </w:r>
      <w:r>
        <w:rPr>
          <w:color w:val="262626"/>
        </w:rPr>
        <w:t xml:space="preserve">  —  Portfolio Calculation par référentiel ; rapprochement des positions, lots fiscaux et courus avec les transactions sources et le dépositaire ; recette du cycle de vie complet des instruments (saisie, valorisation, règlement, comptabilisation, annulation) ; runs parallèles avec l'ancien système et analyse des écarts significatifs ; documentation du paramétrage, dossier de recette, contrôles et procédures ; appui aux clôtures mensuelles et annuelles</w:t>
      </w:r>
    </w:p>
    <w:p w14:paraId="44172433" w14:textId="2D0CC68C" w:rsidR="004B17F9" w:rsidRPr="0013741E" w:rsidRDefault="00000000" w:rsidP="00791555">
      <w:pPr>
        <w:spacing w:before="60" w:after="60"/>
        <w:ind w:left="120" w:right="120"/>
        <w:rPr>
          <w:color w:val="FFFFFF" w:themeColor="background1"/>
          <w:sz w:val="4"/>
          <w:szCs w:val="4"/>
        </w:rPr>
      </w:pPr>
      <w:r>
        <w:rPr>
          <w:color w:val="FFFFFF" w:themeColor="background1"/>
          <w:sz w:val="4"/>
          <w:szCs w:val="4"/>
        </w:rPr>
        <w:t xml:space="preserve">ABOR  |  Comptabilité des placements  |  Comptabilité auxiliaire des placements  |  SimCorp Dimension  |  Paramétrage SCD (FAP/FAM)  |  Stream lead  |  Grand livre  |  Schémas comptables  |  Valorisation  |  Rapprochements  |  Comptabilité OPC / VL  |  Ateliers clients  |  Expression des besoins  |  Cadrage et chiffrage  |  Appels d'offres  |  Transformation Asset Management  |  Implémentation OMS  |  Plateforme front-to-back  |  ABOR / IBOR  |  STP  |  Clearwater Analytics  |  IFRS 9  |  Solvabilité II  |  Référentiel titres  |  Migration de données  |  Coordination dépositaire  |  Bloomberg  |  Attribution de performance  |  Private equity  |  Unités de compte  |  Taux  |  Transparisation  |  Optimisation de la clôture  |  Modèle opératoire cible  |  Record to Report  |  Automatisation  |  Contrôles fondés sur l'IA  |  Gouvernance des données  |  Recette (UAT)  |  PMO  |  SAP S/4HANA  |  SAS  |  Power BI</w:t>
      </w:r>
    </w:p>
    <w:p w14:paraId="00B18728" w14:textId="77777777" w:rsidR="0013741E" w:rsidRDefault="0013741E">
      <w:pPr>
        <w:rPr>
          <w:b/>
          <w:color w:val="FFFFFF"/>
          <w:sz w:val="22"/>
        </w:rPr>
      </w:pPr>
      <w:r>
        <w:rPr>
          <w:b/>
          <w:color w:val="FFFFFF"/>
          <w:sz w:val="22"/>
        </w:rPr>
        <w:br w:type="page"/>
      </w:r>
    </w:p>
    <w:p w14:paraId="7A2595E5" w14:textId="77777777" w:rsidR="004B17F9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EXPÉRIENCE PROFESSIONNELLE</w:t>
      </w:r>
    </w:p>
    <w:p w14:paraId="663BF815" w14:textId="4483F212" w:rsidR="004B17F9" w:rsidRDefault="00000000">
      <w:pPr>
        <w:spacing w:before="160" w:after="30"/>
      </w:pPr>
      <w:r>
        <w:rPr>
          <w:b/>
          <w:color w:val="1F3864"/>
          <w:sz w:val="21"/>
        </w:rPr>
        <w:t xml:space="preserve">Clearwater Analytics</w:t>
      </w:r>
      <w:r>
        <w:rPr>
          <w:color w:val="595959"/>
        </w:rPr>
        <w:t xml:space="preserve">  ·  nov. 2024 – juin 2026  (20 mois)</w:t>
      </w:r>
    </w:p>
    <w:p w14:paraId="25A92EEC" w14:textId="77777777" w:rsidR="004B17F9" w:rsidRDefault="00000000">
      <w:pPr>
        <w:spacing w:after="60"/>
      </w:pPr>
      <w:r>
        <w:rPr>
          <w:b/>
          <w:i/>
          <w:color w:val="2E75B6"/>
        </w:rPr>
        <w:t xml:space="preserve">Directeur de programme senior — Plateforme d'investissement cloud et automatisation de la Finance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Pilotage de bout en bout de l'implémentation de la plateforme </w:t>
      </w:r>
      <w:r>
        <w:rPr>
          <w:b/>
          <w:color w:val="262626"/>
        </w:rPr>
        <w:t xml:space="preserve">SaaS Clearwater Analytics</w:t>
      </w:r>
      <w:r>
        <w:rPr>
          <w:color w:val="262626"/>
        </w:rPr>
        <w:t xml:space="preserve"> pour un réassureur français (</w:t>
      </w:r>
      <w:r>
        <w:rPr>
          <w:b/>
          <w:color w:val="262626"/>
        </w:rPr>
        <w:t xml:space="preserve">11 Md€ d'actifs</w:t>
      </w:r>
      <w:r>
        <w:rPr>
          <w:color w:val="262626"/>
        </w:rPr>
        <w:t xml:space="preserve"> : taux, TCN, fonds cotés, fonds fermés), en remplacement d'un système </w:t>
      </w:r>
      <w:r>
        <w:rPr>
          <w:b/>
          <w:color w:val="262626"/>
        </w:rPr>
        <w:t xml:space="preserve">Linedata Chorus</w:t>
      </w:r>
      <w:r>
        <w:rPr>
          <w:color w:val="262626"/>
        </w:rPr>
        <w:t xml:space="preserve"> (second remplacement de Chorus après SCOR IP, 2008–2012).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b/>
          <w:color w:val="262626"/>
        </w:rPr>
        <w:t xml:space="preserve">Straight-through processing (STP)</w:t>
      </w:r>
      <w:r>
        <w:rPr>
          <w:color w:val="262626"/>
        </w:rPr>
        <w:t xml:space="preserve"> complet : gestion des ordres → comptabilité → reporting Solvabilité II, sans ressaisie entre FO, MO, BO et IT ; clôture ramenée de </w:t>
      </w:r>
      <w:r>
        <w:rPr>
          <w:b/>
          <w:color w:val="262626"/>
        </w:rPr>
        <w:t xml:space="preserve">J+4 à J+2</w:t>
      </w:r>
      <w:r>
        <w:rPr>
          <w:color w:val="262626"/>
        </w:rPr>
        <w:t xml:space="preserve">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Automatisation du rapprochement dépositaire et bancaire : fréquence passée </w:t>
      </w:r>
      <w:r>
        <w:rPr>
          <w:b/>
          <w:color w:val="262626"/>
        </w:rPr>
        <w:t xml:space="preserve">d'hebdomadaire à quotidienne</w:t>
      </w:r>
      <w:r>
        <w:rPr>
          <w:color w:val="262626"/>
        </w:rPr>
        <w:t xml:space="preserve"> ; </w:t>
      </w:r>
      <w:r>
        <w:rPr>
          <w:b/>
          <w:color w:val="262626"/>
        </w:rPr>
        <w:t xml:space="preserve">rapprochement tripartite assisté par l'IA</w:t>
      </w:r>
      <w:r>
        <w:rPr>
          <w:color w:val="262626"/>
        </w:rPr>
        <w:t xml:space="preserve"> (Front Office / Back Office / dépositaire) avec pré-diagnostic automatique des écarts.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Mise en place, pour le client, de </w:t>
      </w:r>
      <w:r>
        <w:rPr>
          <w:b/>
          <w:color w:val="262626"/>
        </w:rPr>
        <w:t xml:space="preserve">contrôles et d'alertes fondés sur l'IA intégrée à l'outil</w:t>
      </w:r>
      <w:r>
        <w:rPr>
          <w:color w:val="262626"/>
        </w:rPr>
        <w:t xml:space="preserve"> : variations de prix, réception des données, instructions sur fonds fermés (appels de fonds, valorisations).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Implémentation multi-modules (CW CORE, OMS/Jump, LPx) ; interfaces avec Bloomberg TSOX et Data License, CODA (GL) et le reporting Solvabilité II.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Gouvernance : comités sponsors mensuels de niveau direction générale (FR/EN), RAID log (plus de 10 risques critiques) ; mises en production OMS (déc. 2025) et CORE (avr. 2026).</w:t>
      </w:r>
    </w:p>
    <w:p w14:paraId="4A1D94FB" w14:textId="77777777" w:rsidR="004B17F9" w:rsidRDefault="004B17F9">
      <w:pPr>
        <w:pBdr>
          <w:bottom w:val="single" w:sz="4" w:space="1" w:color="D6E4F0"/>
        </w:pBdr>
        <w:spacing w:after="0" w:line="240" w:lineRule="auto"/>
      </w:pPr>
    </w:p>
    <w:p w14:paraId="663BF815" w14:textId="4483F212" w:rsidR="004B17F9" w:rsidRDefault="00000000">
      <w:pPr>
        <w:spacing w:before="160" w:after="30"/>
      </w:pPr>
      <w:r>
        <w:rPr>
          <w:b/>
          <w:color w:val="1F3864"/>
          <w:sz w:val="21"/>
        </w:rPr>
        <w:t xml:space="preserve">CNP Assurances</w:t>
      </w:r>
      <w:r>
        <w:rPr>
          <w:color w:val="595959"/>
        </w:rPr>
        <w:t xml:space="preserve">  ·  2013 – 2017  (4 ans)</w:t>
      </w:r>
    </w:p>
    <w:p w14:paraId="25A92EEC" w14:textId="77777777" w:rsidR="004B17F9" w:rsidRDefault="00000000">
      <w:pPr>
        <w:spacing w:after="60"/>
      </w:pPr>
      <w:r>
        <w:rPr>
          <w:b/>
          <w:i/>
          <w:color w:val="2E75B6"/>
        </w:rPr>
        <w:t xml:space="preserve">Lead Business Owner SimCorp Dimension  /  Responsable de la production financière et Solvabilité II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Lead Business Owner de l'implémentation de </w:t>
      </w:r>
      <w:r>
        <w:rPr>
          <w:b/>
          <w:color w:val="262626"/>
        </w:rPr>
        <w:t xml:space="preserve">SimCorp Dimension</w:t>
      </w:r>
      <w:r>
        <w:rPr>
          <w:color w:val="262626"/>
        </w:rPr>
        <w:t xml:space="preserve"> chez l'un des premiers assureurs vie français : </w:t>
      </w:r>
      <w:r>
        <w:rPr>
          <w:b/>
          <w:color w:val="262626"/>
        </w:rPr>
        <w:t xml:space="preserve">environ 350 Md€ d'encours</w:t>
      </w:r>
      <w:r>
        <w:rPr>
          <w:color w:val="262626"/>
        </w:rPr>
        <w:t xml:space="preserve">, l'une des plus grandes implémentations SimCorp d'Europe, sur toute la chaîne ABOR et Solvabilité II.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Pilotage de l'ensemble du volet métier : ateliers d'expression des besoins, conception fonctionnelle, règles comptables et schémas d'écritures multi-référentiels, contrôles, reporting Solvabilité II, recette, migration des données, préparation de la mise en production.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Responsable de l'unité Production financière et Solvabilité II (mai–déc. 2013, 5 personnes) : refonte du </w:t>
      </w:r>
      <w:r>
        <w:rPr>
          <w:b/>
          <w:color w:val="262626"/>
        </w:rPr>
        <w:t xml:space="preserve">modèle de projection du résultat financier</w:t>
      </w:r>
      <w:r>
        <w:rPr>
          <w:color w:val="262626"/>
        </w:rPr>
        <w:t xml:space="preserve"> ; feuille de route d'</w:t>
      </w:r>
      <w:r>
        <w:rPr>
          <w:b/>
          <w:color w:val="262626"/>
        </w:rPr>
        <w:t xml:space="preserve">Access</w:t>
      </w:r>
      <w:r>
        <w:rPr>
          <w:color w:val="262626"/>
        </w:rPr>
        <w:t xml:space="preserve"> vers </w:t>
      </w:r>
      <w:r>
        <w:rPr>
          <w:b/>
          <w:color w:val="262626"/>
        </w:rPr>
        <w:t xml:space="preserve">SAS</w:t>
      </w:r>
      <w:r>
        <w:rPr>
          <w:color w:val="262626"/>
        </w:rPr>
        <w:t xml:space="preserve"> et </w:t>
      </w:r>
      <w:r>
        <w:rPr>
          <w:b/>
          <w:color w:val="262626"/>
        </w:rPr>
        <w:t xml:space="preserve">QlikView</w:t>
      </w:r>
      <w:r>
        <w:rPr>
          <w:color w:val="262626"/>
        </w:rPr>
        <w:t xml:space="preserve">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Référent ABOR du chantier Fast Close : cut-off, portefeuilles en unités de compte, rapprochement comptabilité / gestion.</w:t>
      </w:r>
    </w:p>
    <w:p w14:paraId="4A1D94FB" w14:textId="77777777" w:rsidR="004B17F9" w:rsidRDefault="004B17F9">
      <w:pPr>
        <w:pBdr>
          <w:bottom w:val="single" w:sz="4" w:space="1" w:color="D6E4F0"/>
        </w:pBdr>
        <w:spacing w:after="0" w:line="240" w:lineRule="auto"/>
      </w:pPr>
    </w:p>
    <w:p w14:paraId="663BF815" w14:textId="4483F212" w:rsidR="004B17F9" w:rsidRDefault="00000000">
      <w:pPr>
        <w:spacing w:before="160" w:after="30"/>
      </w:pPr>
      <w:r>
        <w:rPr>
          <w:b/>
          <w:color w:val="1F3864"/>
          <w:sz w:val="21"/>
        </w:rPr>
        <w:t xml:space="preserve">Coface  —  Direction financière Groupe</w:t>
      </w:r>
      <w:r>
        <w:rPr>
          <w:color w:val="595959"/>
        </w:rPr>
        <w:t xml:space="preserve">  ·  mai 2017 – mai 2018  +  janv. 2020 – oct. 2024  (5 ans)</w:t>
      </w:r>
    </w:p>
    <w:p w14:paraId="25A92EEC" w14:textId="77777777" w:rsidR="004B17F9" w:rsidRDefault="00000000">
      <w:pPr>
        <w:spacing w:after="60"/>
      </w:pPr>
      <w:r>
        <w:rPr>
          <w:b/>
          <w:i/>
          <w:color w:val="2E75B6"/>
        </w:rPr>
        <w:t xml:space="preserve">Responsable Groupe de la comptabilité des placements  /  Chef de projet IFRS 9</w:t>
      </w:r>
    </w:p>
    <w:p w14:paraId="3777882A" w14:textId="77777777" w:rsidR="004B17F9" w:rsidRDefault="00000000">
      <w:pPr>
        <w:spacing w:before="80" w:after="20"/>
        <w:ind w:left="180"/>
      </w:pPr>
      <w:r>
        <w:rPr>
          <w:b/>
          <w:color w:val="2E75B6"/>
        </w:rPr>
        <w:t xml:space="preserve">Responsable Groupe de la comptabilité des placements  (janv. 2023 – oct. 2024)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Direction de la comptabilité des placements d'un </w:t>
      </w:r>
      <w:r>
        <w:rPr>
          <w:b/>
          <w:color w:val="262626"/>
        </w:rPr>
        <w:t xml:space="preserve">portefeuille Groupe d'environ 3 Md€</w:t>
      </w:r>
      <w:r>
        <w:rPr>
          <w:color w:val="262626"/>
        </w:rPr>
        <w:t xml:space="preserve"> délégué à CACEIS (plateforme Neoxam GP3/GP4), pour </w:t>
      </w:r>
      <w:r>
        <w:rPr>
          <w:b/>
          <w:color w:val="262626"/>
        </w:rPr>
        <w:t xml:space="preserve">une vingtaine d'entités internationales</w:t>
      </w:r>
      <w:r>
        <w:rPr>
          <w:color w:val="262626"/>
        </w:rPr>
        <w:t xml:space="preserve">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Industrialisation du </w:t>
      </w:r>
      <w:r>
        <w:rPr>
          <w:b/>
          <w:color w:val="262626"/>
        </w:rPr>
        <w:t xml:space="preserve">Record-to-Report</w:t>
      </w:r>
      <w:r>
        <w:rPr>
          <w:color w:val="262626"/>
        </w:rPr>
        <w:t xml:space="preserve"> : traitements </w:t>
      </w:r>
      <w:r>
        <w:rPr>
          <w:b/>
          <w:color w:val="262626"/>
        </w:rPr>
        <w:t xml:space="preserve">Power Query</w:t>
      </w:r>
      <w:r>
        <w:rPr>
          <w:color w:val="262626"/>
        </w:rPr>
        <w:t xml:space="preserve"> des données mensuelles CACEIS (rapprochements comptabilité / gestion et SAP / CACEIS, change, contrôles de variation de prix) ; </w:t>
      </w:r>
      <w:r>
        <w:rPr>
          <w:b/>
          <w:color w:val="262626"/>
        </w:rPr>
        <w:t xml:space="preserve">macros VBA</w:t>
      </w:r>
      <w:r>
        <w:rPr>
          <w:color w:val="262626"/>
        </w:rPr>
        <w:t xml:space="preserve"> de conversion GP3 → SAP ; automatisation </w:t>
      </w:r>
      <w:r>
        <w:rPr>
          <w:b/>
          <w:color w:val="262626"/>
        </w:rPr>
        <w:t xml:space="preserve">SAP FC Publisher</w:t>
      </w:r>
      <w:r>
        <w:rPr>
          <w:color w:val="262626"/>
        </w:rPr>
        <w:t xml:space="preserve"> pour la consolidation BFC.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Automatisation des interfaces placements SAP S/4HANA et de la chaîne SAP → SAP BFC : clôture ramenée de </w:t>
      </w:r>
      <w:r>
        <w:rPr>
          <w:b/>
          <w:color w:val="262626"/>
        </w:rPr>
        <w:t xml:space="preserve">J+5 à J+3</w:t>
      </w:r>
      <w:r>
        <w:rPr>
          <w:color w:val="262626"/>
        </w:rPr>
        <w:t xml:space="preserve"> ; tableau de bord </w:t>
      </w:r>
      <w:r>
        <w:rPr>
          <w:b/>
          <w:color w:val="262626"/>
        </w:rPr>
        <w:t xml:space="preserve">Power BI</w:t>
      </w:r>
      <w:r>
        <w:rPr>
          <w:color w:val="262626"/>
        </w:rPr>
        <w:t xml:space="preserve"> des placements pour la direction générale.</w:t>
      </w:r>
    </w:p>
    <w:p w14:paraId="3777882A" w14:textId="77777777" w:rsidR="004B17F9" w:rsidRDefault="00000000">
      <w:pPr>
        <w:spacing w:before="80" w:after="20"/>
        <w:ind w:left="180"/>
      </w:pPr>
      <w:r>
        <w:rPr>
          <w:b/>
          <w:color w:val="2E75B6"/>
        </w:rPr>
        <w:t xml:space="preserve">Chef de projet IFRS 9  (janv. 2020 – déc. 2022)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Pilotage des chantiers Finance d'IFRS 9, </w:t>
      </w:r>
      <w:r>
        <w:rPr>
          <w:b/>
          <w:color w:val="262626"/>
        </w:rPr>
        <w:t xml:space="preserve">déployé par étapes sur quatre ans</w:t>
      </w:r>
      <w:r>
        <w:rPr>
          <w:color w:val="262626"/>
        </w:rPr>
        <w:t xml:space="preserve"> : POC successifs, méthodologie ECL, schémas comptables, recette, coordination avec le dépositaire CACEIS.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Conception de bout en bout du </w:t>
      </w:r>
      <w:r>
        <w:rPr>
          <w:b/>
          <w:color w:val="262626"/>
        </w:rPr>
        <w:t xml:space="preserve">modèle ECL (pertes de crédit attendues)</w:t>
      </w:r>
      <w:r>
        <w:rPr>
          <w:color w:val="262626"/>
        </w:rPr>
        <w:t xml:space="preserve"> sur matrices de risque externes, implémenté sous </w:t>
      </w:r>
      <w:r>
        <w:rPr>
          <w:b/>
          <w:color w:val="262626"/>
        </w:rPr>
        <w:t xml:space="preserve">SAS</w:t>
      </w:r>
      <w:r>
        <w:rPr>
          <w:color w:val="262626"/>
        </w:rPr>
        <w:t xml:space="preserve">, la Finance étant seule propriétaire du modèle ; analyse mensuelle des écarts ; validation des schémas comptables de transition, refonte du calendrier de clôture.</w:t>
      </w:r>
    </w:p>
    <w:p w14:paraId="3777882A" w14:textId="77777777" w:rsidR="004B17F9" w:rsidRDefault="00000000">
      <w:pPr>
        <w:spacing w:before="80" w:after="20"/>
        <w:ind w:left="180"/>
      </w:pPr>
      <w:r>
        <w:rPr>
          <w:b/>
          <w:color w:val="2E75B6"/>
        </w:rPr>
        <w:t xml:space="preserve">Première mission  (mai 2017 – mai 2018)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Responsable de la comptabilité technique : production de la comptabilité des placements, reporting réglementaire, modèle opératoire.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Création d'un </w:t>
      </w:r>
      <w:r>
        <w:rPr>
          <w:b/>
          <w:color w:val="262626"/>
        </w:rPr>
        <w:t xml:space="preserve">Data Warehouse placements sous SAS</w:t>
      </w:r>
      <w:r>
        <w:rPr>
          <w:color w:val="262626"/>
        </w:rPr>
        <w:t xml:space="preserve"> (champs, structure des tables, contrôle des inputs et des outputs, reporting de gestion), socle du modèle ECL IFRS 9 de 2020.</w:t>
      </w:r>
    </w:p>
    <w:p w14:paraId="4A1D94FB" w14:textId="77777777" w:rsidR="004B17F9" w:rsidRDefault="004B17F9">
      <w:pPr>
        <w:pBdr>
          <w:bottom w:val="single" w:sz="4" w:space="1" w:color="D6E4F0"/>
        </w:pBdr>
        <w:spacing w:after="0" w:line="240" w:lineRule="auto"/>
      </w:pPr>
    </w:p>
    <w:p w14:paraId="663BF815" w14:textId="4483F212" w:rsidR="004B17F9" w:rsidRDefault="00000000">
      <w:pPr>
        <w:spacing w:before="160" w:after="30"/>
      </w:pPr>
      <w:r>
        <w:rPr>
          <w:b/>
          <w:color w:val="1F3864"/>
          <w:sz w:val="21"/>
        </w:rPr>
        <w:t xml:space="preserve">Primexis</w:t>
      </w:r>
      <w:r>
        <w:rPr>
          <w:color w:val="595959"/>
        </w:rPr>
        <w:t xml:space="preserve">  ·  oct. 2008 – avr. 2013  (4,5 ans)</w:t>
      </w:r>
    </w:p>
    <w:p w14:paraId="25A92EEC" w14:textId="77777777" w:rsidR="004B17F9" w:rsidRDefault="00000000">
      <w:pPr>
        <w:spacing w:after="60"/>
      </w:pPr>
      <w:r>
        <w:rPr>
          <w:b/>
          <w:i/>
          <w:color w:val="2E75B6"/>
        </w:rPr>
        <w:t xml:space="preserve">Directeur associé — BU Assurance  /  Chef de projet SimCorp chez SCOR Investment Partners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En parallèle, chef de projet SimCorp Dimension chez SCOR Investment Partners (nov. 2008 – mai 2012, 3,5 ans) : migration de </w:t>
      </w:r>
      <w:r>
        <w:rPr>
          <w:b/>
          <w:color w:val="262626"/>
        </w:rPr>
        <w:t xml:space="preserve">Linedata Chorus</w:t>
      </w:r>
      <w:r>
        <w:rPr>
          <w:color w:val="262626"/>
        </w:rPr>
        <w:t xml:space="preserve"> (MO/BO/comptabilité) vers </w:t>
      </w:r>
      <w:r>
        <w:rPr>
          <w:b/>
          <w:color w:val="262626"/>
        </w:rPr>
        <w:t xml:space="preserve">SimCorp Dimension</w:t>
      </w:r>
      <w:r>
        <w:rPr>
          <w:color w:val="262626"/>
        </w:rPr>
        <w:t xml:space="preserve"> pour le siège et les entités étrangères — </w:t>
      </w:r>
      <w:r>
        <w:rPr>
          <w:b/>
          <w:color w:val="262626"/>
        </w:rPr>
        <w:t xml:space="preserve">20 Md€ d'actifs</w:t>
      </w:r>
      <w:r>
        <w:rPr>
          <w:color w:val="262626"/>
        </w:rPr>
        <w:t xml:space="preserve">, équipe de 12 personnes ; Bloomberg (FO) entièrement interfacé.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Conception et mise en œuvre de l'</w:t>
      </w:r>
      <w:r>
        <w:rPr>
          <w:b/>
          <w:color w:val="262626"/>
        </w:rPr>
        <w:t xml:space="preserve">automatisation de la transparisation</w:t>
      </w:r>
      <w:r>
        <w:rPr>
          <w:color w:val="262626"/>
        </w:rPr>
        <w:t xml:space="preserve"> : consolidation des actifs sous-jacents, sensibilités et transparisation Solvabilité II, en remplacement des retraitements manuels.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Migration du portefeuille américain, produits structurés compris ; reporting placements conforme AMF et réorganisation des succursales des filiales étrangères.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Directeur associé chez Primexis : création de la </w:t>
      </w:r>
      <w:r>
        <w:rPr>
          <w:b/>
          <w:color w:val="262626"/>
        </w:rPr>
        <w:t xml:space="preserve">BU Assurance</w:t>
      </w:r>
      <w:r>
        <w:rPr>
          <w:color w:val="262626"/>
        </w:rPr>
        <w:t xml:space="preserve"> (20 consultants, 10 clients, </w:t>
      </w:r>
      <w:r>
        <w:rPr>
          <w:b/>
          <w:color w:val="262626"/>
        </w:rPr>
        <w:t xml:space="preserve">3 M€ de chiffre d'affaires</w:t>
      </w:r>
      <w:r>
        <w:rPr>
          <w:color w:val="262626"/>
        </w:rPr>
        <w:t xml:space="preserve">) ; membre du Comex ; pilotage de toutes les réponses aux appels d'offres assurance (cadrage, chiffrage, tarification).</w:t>
      </w:r>
    </w:p>
    <w:p w14:paraId="4A1D94FB" w14:textId="77777777" w:rsidR="004B17F9" w:rsidRDefault="004B17F9">
      <w:pPr>
        <w:pBdr>
          <w:bottom w:val="single" w:sz="4" w:space="1" w:color="D6E4F0"/>
        </w:pBdr>
        <w:spacing w:after="0" w:line="240" w:lineRule="auto"/>
      </w:pPr>
    </w:p>
    <w:p w14:paraId="663BF815" w14:textId="4483F212" w:rsidR="004B17F9" w:rsidRDefault="00000000">
      <w:pPr>
        <w:spacing w:before="160" w:after="30"/>
      </w:pPr>
      <w:r>
        <w:rPr>
          <w:b/>
          <w:color w:val="1F3864"/>
          <w:sz w:val="21"/>
        </w:rPr>
        <w:t xml:space="preserve">SCOR  —  Direction des investissements</w:t>
      </w:r>
      <w:r>
        <w:rPr>
          <w:color w:val="595959"/>
        </w:rPr>
        <w:t xml:space="preserve">  ·  oct. 2005 – sept. 2008  (3 ans)</w:t>
      </w:r>
    </w:p>
    <w:p w14:paraId="25A92EEC" w14:textId="77777777" w:rsidR="004B17F9" w:rsidRDefault="00000000">
      <w:pPr>
        <w:spacing w:after="60"/>
      </w:pPr>
      <w:r>
        <w:rPr>
          <w:b/>
          <w:i/>
          <w:color w:val="2E75B6"/>
        </w:rPr>
        <w:t xml:space="preserve">Responsable des projets de transformation  /  Responsable de la consolidation Groupe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Chief transformation officer de la fonction investissement : passage de la direction des investissements à une structure de gestion d'actifs autonome, </w:t>
      </w:r>
      <w:r>
        <w:rPr>
          <w:b/>
          <w:color w:val="262626"/>
        </w:rPr>
        <w:t xml:space="preserve">Bloomberg (FO) + Linedata Chorus (MO/BO/comptabilité)</w:t>
      </w:r>
      <w:r>
        <w:rPr>
          <w:color w:val="262626"/>
        </w:rPr>
        <w:t xml:space="preserve"> remplacés par une plateforme intégrée du front à la comptabilité.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Cadrage et appels d'offres (RFI/RFP) de la plateforme d'investissement et de l'outil d'attribution de performance ; sélection de </w:t>
      </w:r>
      <w:r>
        <w:rPr>
          <w:b/>
          <w:color w:val="262626"/>
        </w:rPr>
        <w:t xml:space="preserve">SimCorp Dimension</w:t>
      </w:r>
      <w:r>
        <w:rPr>
          <w:color w:val="262626"/>
        </w:rPr>
        <w:t xml:space="preserve"> et gouvernance de son implémentation. Budget : </w:t>
      </w:r>
      <w:r>
        <w:rPr>
          <w:b/>
          <w:color w:val="262626"/>
        </w:rPr>
        <w:t xml:space="preserve">3 M€ par an</w:t>
      </w:r>
      <w:r>
        <w:rPr>
          <w:color w:val="262626"/>
        </w:rPr>
        <w:t xml:space="preserve">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Responsable de la consolidation Groupe et des normes comptables (oct. 2005 – juil. 2006) : consolidation trimestrielle IFRS et annuelle US GAAP ; politique comptable Groupe ; équipe de 5 personnes.</w:t>
      </w:r>
    </w:p>
    <w:p w14:paraId="4A1D94FB" w14:textId="77777777" w:rsidR="004B17F9" w:rsidRDefault="004B17F9">
      <w:pPr>
        <w:pBdr>
          <w:bottom w:val="single" w:sz="4" w:space="1" w:color="D6E4F0"/>
        </w:pBdr>
        <w:spacing w:after="0" w:line="240" w:lineRule="auto"/>
      </w:pPr>
    </w:p>
    <w:p w14:paraId="663BF815" w14:textId="4483F212" w:rsidR="004B17F9" w:rsidRDefault="00000000">
      <w:pPr>
        <w:spacing w:before="160" w:after="30"/>
      </w:pPr>
      <w:r>
        <w:rPr>
          <w:b/>
          <w:color w:val="1F3864"/>
          <w:sz w:val="21"/>
        </w:rPr>
        <w:t xml:space="preserve">Coface  —  Direction financière Groupe</w:t>
      </w:r>
      <w:r>
        <w:rPr>
          <w:color w:val="595959"/>
        </w:rPr>
        <w:t xml:space="preserve">  ·  mai 2004 – oct. 2005  (18 mois)</w:t>
      </w:r>
    </w:p>
    <w:p w14:paraId="25A92EEC" w14:textId="77777777" w:rsidR="004B17F9" w:rsidRDefault="00000000">
      <w:pPr>
        <w:spacing w:after="60"/>
      </w:pPr>
      <w:r>
        <w:rPr>
          <w:b/>
          <w:i/>
          <w:color w:val="2E75B6"/>
        </w:rPr>
        <w:t xml:space="preserve">Responsable de la comptabilité technique et du provisionnement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Conception et mise en œuvre d'une </w:t>
      </w:r>
      <w:r>
        <w:rPr>
          <w:b/>
          <w:color w:val="262626"/>
        </w:rPr>
        <w:t xml:space="preserve">méthode de provisionnement stochastique Bornhuetter-Ferguson</w:t>
      </w:r>
      <w:r>
        <w:rPr>
          <w:color w:val="262626"/>
        </w:rPr>
        <w:t xml:space="preserve">, en remplacement de l'estimation manuelle ; accélération de la clôture.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Comptabilité des placements et comptabilité technique d'assurance ; rapprochements intragroupe ; coordination avec la Direction financière Groupe ; équipe de 16 personnes.</w:t>
      </w:r>
    </w:p>
    <w:p w14:paraId="4A1D94FB" w14:textId="77777777" w:rsidR="004B17F9" w:rsidRDefault="004B17F9">
      <w:pPr>
        <w:pBdr>
          <w:bottom w:val="single" w:sz="4" w:space="1" w:color="D6E4F0"/>
        </w:pBdr>
        <w:spacing w:after="0" w:line="240" w:lineRule="auto"/>
      </w:pPr>
    </w:p>
    <w:p w14:paraId="663BF815" w14:textId="4483F212" w:rsidR="004B17F9" w:rsidRDefault="00000000">
      <w:pPr>
        <w:spacing w:before="160" w:after="30"/>
      </w:pPr>
      <w:r>
        <w:rPr>
          <w:b/>
          <w:color w:val="1F3864"/>
          <w:sz w:val="21"/>
        </w:rPr>
        <w:t xml:space="preserve">Mazars</w:t>
      </w:r>
      <w:r>
        <w:rPr>
          <w:color w:val="595959"/>
        </w:rPr>
        <w:t xml:space="preserve">  ·  sept. 1999 – mai 2004  (5 ans)</w:t>
      </w:r>
    </w:p>
    <w:p w14:paraId="25A92EEC" w14:textId="77777777" w:rsidR="004B17F9" w:rsidRDefault="00000000">
      <w:pPr>
        <w:spacing w:after="60"/>
      </w:pPr>
      <w:r>
        <w:rPr>
          <w:b/>
          <w:i/>
          <w:color w:val="2E75B6"/>
        </w:rPr>
        <w:t xml:space="preserve">Manager audit — Assurance et réassurance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Commissariat aux comptes, contrôle interne, due diligence et accompagnement de transactions pour des assureurs et réassureurs ; revues de la fonction placements.</w:t>
      </w:r>
    </w:p>
    <w:p w14:paraId="7A2595E5" w14:textId="77777777" w:rsidR="004B17F9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FORMATION &amp; CERTIFICATIONS</w:t>
      </w:r>
    </w:p>
    <w:p w14:paraId="18DC9178" w14:textId="77777777" w:rsidR="004B17F9" w:rsidRDefault="00000000">
      <w:pPr>
        <w:spacing w:before="50" w:after="50"/>
        <w:ind w:left="180"/>
      </w:pPr>
      <w:r>
        <w:rPr>
          <w:b/>
          <w:color w:val="1F3864"/>
        </w:rPr>
        <w:t xml:space="preserve">ESCP Business School</w:t>
      </w:r>
      <w:r>
        <w:rPr>
          <w:color w:val="262626"/>
        </w:rPr>
        <w:t xml:space="preserve">  —  Programme Grande École — Master in Management  |  Option Finance</w:t>
      </w:r>
      <w:r>
        <w:rPr>
          <w:color w:val="595959"/>
          <w:sz w:val="18"/>
        </w:rPr>
        <w:t xml:space="preserve">  |  1991–1995</w:t>
      </w:r>
    </w:p>
    <w:p w14:paraId="18DC9178" w14:textId="77777777" w:rsidR="004B17F9" w:rsidRDefault="00000000">
      <w:pPr>
        <w:spacing w:before="50" w:after="50"/>
        <w:ind w:left="180"/>
      </w:pPr>
      <w:r>
        <w:rPr>
          <w:b/>
          <w:color w:val="1F3864"/>
        </w:rPr>
        <w:t xml:space="preserve">Centre d'Études Actuarielles, Paris</w:t>
      </w:r>
      <w:r>
        <w:rPr>
          <w:color w:val="262626"/>
        </w:rPr>
        <w:t xml:space="preserve">  —  ensemble des épreuves validées</w:t>
      </w:r>
      <w:r>
        <w:rPr>
          <w:color w:val="595959"/>
          <w:sz w:val="18"/>
        </w:rPr>
        <w:t xml:space="preserve">  |  2002–2004</w:t>
      </w:r>
    </w:p>
    <w:p w14:paraId="18DC9178" w14:textId="77777777" w:rsidR="004B17F9" w:rsidRDefault="00000000">
      <w:pPr>
        <w:spacing w:before="50" w:after="50"/>
        <w:ind w:left="180"/>
      </w:pPr>
      <w:r>
        <w:rPr>
          <w:b/>
          <w:color w:val="1F3864"/>
        </w:rPr>
        <w:t xml:space="preserve">ENOES — École de l'Expertise Comptable</w:t>
      </w:r>
      <w:r>
        <w:rPr>
          <w:color w:val="262626"/>
        </w:rPr>
        <w:t xml:space="preserve">  —  D.E.C.F.</w:t>
      </w:r>
      <w:r>
        <w:rPr>
          <w:color w:val="595959"/>
          <w:sz w:val="18"/>
        </w:rPr>
        <w:t xml:space="preserve">  |  2001</w:t>
      </w:r>
    </w:p>
    <w:p w14:paraId="18DC9178" w14:textId="77777777" w:rsidR="004B17F9" w:rsidRDefault="00000000">
      <w:pPr>
        <w:spacing w:before="50" w:after="50"/>
        <w:ind w:left="180"/>
      </w:pPr>
      <w:r>
        <w:rPr>
          <w:b/>
          <w:color w:val="1F3864"/>
        </w:rPr>
        <w:t xml:space="preserve">Université Paris Dauphine – PSL</w:t>
      </w:r>
      <w:r>
        <w:rPr>
          <w:color w:val="262626"/>
        </w:rPr>
        <w:t xml:space="preserve">  —  DEA de macroéconomie</w:t>
      </w:r>
      <w:r>
        <w:rPr>
          <w:color w:val="595959"/>
          <w:sz w:val="18"/>
        </w:rPr>
        <w:t xml:space="preserve">  |  1995–1996</w:t>
      </w:r>
    </w:p>
    <w:p w14:paraId="18DC9178" w14:textId="77777777" w:rsidR="004B17F9" w:rsidRDefault="00000000">
      <w:pPr>
        <w:spacing w:before="50" w:after="50"/>
        <w:ind w:left="180"/>
      </w:pPr>
      <w:r>
        <w:rPr>
          <w:b/>
          <w:color w:val="1F3864"/>
        </w:rPr>
        <w:t xml:space="preserve">Project Management Institute</w:t>
      </w:r>
      <w:r>
        <w:rPr>
          <w:color w:val="262626"/>
        </w:rPr>
        <w:t xml:space="preserve">  —  PMP® — Project Management Professional (certification active)</w:t>
      </w:r>
    </w:p>
    <w:p w14:paraId="18DC9178" w14:textId="77777777" w:rsidR="004B17F9" w:rsidRDefault="00000000">
      <w:pPr>
        <w:spacing w:before="50" w:after="50"/>
        <w:ind w:left="180"/>
      </w:pPr>
      <w:r>
        <w:rPr>
          <w:b/>
          <w:color w:val="1F3864"/>
        </w:rPr>
        <w:t xml:space="preserve">Certifications</w:t>
      </w:r>
      <w:r>
        <w:rPr>
          <w:color w:val="262626"/>
        </w:rPr>
        <w:t xml:space="preserve">  —  Generative AI Primer  |  GenAI for Account Executives</w:t>
      </w:r>
    </w:p>
    <w:p w14:paraId="7A2595E5" w14:textId="77777777" w:rsidR="004B17F9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LANGUES &amp; DISPONIBILITÉ</w:t>
      </w:r>
    </w:p>
    <w:p w14:paraId="53A268A1" w14:textId="14EA7854" w:rsidR="004B17F9" w:rsidRDefault="00000000">
      <w:pPr>
        <w:spacing w:before="80" w:after="80"/>
        <w:ind w:left="180"/>
      </w:pPr>
      <w:r>
        <w:rPr>
          <w:color w:val="262626"/>
        </w:rPr>
        <w:t xml:space="preserve">Français : langue maternelle  |  Anglais : courant professionnel (C1/C2)</w:t>
      </w:r>
    </w:p>
    <w:p w14:paraId="1894C494" w14:textId="77777777" w:rsidR="004B17F9" w:rsidRDefault="00000000">
      <w:pPr>
        <w:spacing w:after="80"/>
        <w:ind w:left="180"/>
      </w:pPr>
      <w:r>
        <w:rPr>
          <w:color w:val="262626"/>
        </w:rPr>
        <w:t xml:space="preserve">Disponible immédiatement  |  Hybride, Paris / Île-de-France  |  Europe : Royaume-Uni, Irlande, Benelux, Suisse</w:t>
      </w:r>
    </w:p>
    <w:sectPr w:rsidR="004B17F9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237075"/>
    <w:multiLevelType w:val="hybridMultilevel"/>
    <w:tmpl w:val="2EB66DBC"/>
    <w:lvl w:ilvl="0" w:tplc="040C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0" w15:restartNumberingAfterBreak="0">
    <w:nsid w:val="79947A5E"/>
    <w:multiLevelType w:val="hybridMultilevel"/>
    <w:tmpl w:val="705CEEE4"/>
    <w:lvl w:ilvl="0" w:tplc="040C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319575198">
    <w:abstractNumId w:val="8"/>
  </w:num>
  <w:num w:numId="2" w16cid:durableId="829560583">
    <w:abstractNumId w:val="6"/>
  </w:num>
  <w:num w:numId="3" w16cid:durableId="1552499846">
    <w:abstractNumId w:val="5"/>
  </w:num>
  <w:num w:numId="4" w16cid:durableId="1850682786">
    <w:abstractNumId w:val="4"/>
  </w:num>
  <w:num w:numId="5" w16cid:durableId="897589947">
    <w:abstractNumId w:val="7"/>
  </w:num>
  <w:num w:numId="6" w16cid:durableId="1005205406">
    <w:abstractNumId w:val="3"/>
  </w:num>
  <w:num w:numId="7" w16cid:durableId="1757703315">
    <w:abstractNumId w:val="2"/>
  </w:num>
  <w:num w:numId="8" w16cid:durableId="1139685493">
    <w:abstractNumId w:val="1"/>
  </w:num>
  <w:num w:numId="9" w16cid:durableId="233243014">
    <w:abstractNumId w:val="0"/>
  </w:num>
  <w:num w:numId="10" w16cid:durableId="321861825">
    <w:abstractNumId w:val="9"/>
  </w:num>
  <w:num w:numId="11" w16cid:durableId="269555882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741E"/>
    <w:rsid w:val="0015074B"/>
    <w:rsid w:val="00182ED7"/>
    <w:rsid w:val="0029639D"/>
    <w:rsid w:val="002D3B92"/>
    <w:rsid w:val="00326F90"/>
    <w:rsid w:val="0044507F"/>
    <w:rsid w:val="004B17F9"/>
    <w:rsid w:val="00791555"/>
    <w:rsid w:val="00AA1D8D"/>
    <w:rsid w:val="00B47730"/>
    <w:rsid w:val="00CB0664"/>
    <w:rsid w:val="00CF0009"/>
    <w:rsid w:val="00E97B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4FFE5A"/>
  <w14:defaultImageDpi w14:val="300"/>
  <w15:docId w15:val="{41C14C36-5BC1-D948-B300-F6256751A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1595</Words>
  <Characters>10358</Characters>
  <Application>Microsoft Office Word</Application>
  <DocSecurity>0</DocSecurity>
  <Lines>152</Lines>
  <Paragraphs>92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Xavier Robitaille</dc:title>
  <dc:subject/>
  <dc:creator>Xavier Robitaille</dc:creator>
  <cp:keywords/>
  <dc:description>generated by python-docx</dc:description>
  <cp:lastModifiedBy>Xavier Robitaille</cp:lastModifiedBy>
  <cp:revision>2</cp:revision>
  <dcterms:created xsi:type="dcterms:W3CDTF">2026-09-27T22:16:00Z</dcterms:created>
  <dcterms:modified xsi:type="dcterms:W3CDTF">2026-09-27T22:16:00Z</dcterms:modified>
  <cp:category/>
</cp:coreProperties>
</file>