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1C7445" w14:textId="1A311416" w:rsidR="004B17F9" w:rsidRDefault="00000000">
      <w:pPr>
        <w:shd w:val="clear" w:color="auto" w:fill="1F3864"/>
        <w:spacing w:after="0" w:line="240" w:lineRule="auto"/>
        <w:jc w:val="center"/>
      </w:pPr>
      <w:r>
        <w:rPr>
          <w:b/>
          <w:color w:val="FFFFFF"/>
          <w:sz w:val="32"/>
        </w:rPr>
        <w:t xml:space="preserve">XAVIER ROBITAILLE</w:t>
      </w:r>
    </w:p>
    <w:p w14:paraId="1EA547DF" w14:textId="424EED89" w:rsidR="004B17F9" w:rsidRDefault="00000000">
      <w:pPr>
        <w:shd w:val="clear" w:color="auto" w:fill="1F3864"/>
        <w:spacing w:after="0" w:line="240" w:lineRule="auto"/>
        <w:jc w:val="center"/>
      </w:pPr>
      <w:r>
        <w:rPr>
          <w:color w:val="D6E4F0"/>
        </w:rPr>
        <w:t xml:space="preserve">Transformation Finance  |  PMO et direction de programme  |  Management de transition</w:t>
      </w:r>
      <w:r>
        <w:rPr>
          <w:color w:val="D6E4F0"/>
        </w:rPr>
        <w:br/>
      </w:r>
      <w:r>
        <w:rPr>
          <w:color w:val="D6E4F0"/>
        </w:rPr>
        <w:t xml:space="preserve">Consultant senior — assurance, réassurance et gestion d'actifs — clôture et reporting réglementaire</w:t>
      </w:r>
    </w:p>
    <w:p w14:paraId="45C2F075" w14:textId="0C15FB1B" w:rsidR="004B17F9" w:rsidRDefault="00000000">
      <w:pPr>
        <w:shd w:val="clear" w:color="auto" w:fill="2E75B6"/>
        <w:spacing w:before="60" w:after="60" w:line="240" w:lineRule="auto"/>
        <w:jc w:val="center"/>
      </w:pPr>
      <w:r>
        <w:rPr>
          <w:color w:val="FFFFFF"/>
          <w:sz w:val="18"/>
        </w:rPr>
        <w:t xml:space="preserve">+33 6 64 89 09 43  |  xrobitaille92150@gmail.com  |  linkedin.com/in/xrobitaille  |  Paris, hybride - disponible immédiatement</w:t>
      </w:r>
    </w:p>
    <w:p w14:paraId="12706649" w14:textId="77777777" w:rsidR="00791555" w:rsidRPr="00791555" w:rsidRDefault="00000000" w:rsidP="00791555"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t xml:space="preserve">  </w:t>
      </w:r>
    </w:p>
    <w:p w14:paraId="4C53F755" w14:textId="77777777" w:rsidR="0013741E" w:rsidRPr="0013741E" w:rsidRDefault="0013741E" w:rsidP="0013741E">
      <w:pPr>
        <w:rPr>
          <w:sz w:val="2"/>
          <w:szCs w:val="6"/>
        </w:rPr>
      </w:pPr>
    </w:p>
    <w:p w14:paraId="628F860E" w14:textId="7BC193E7" w:rsidR="004B17F9" w:rsidRDefault="00000000" w:rsidP="00791555">
      <w:pPr>
        <w:shd w:val="clear" w:color="auto" w:fill="2E75B6"/>
        <w:spacing w:after="80"/>
      </w:pPr>
      <w:r>
        <w:rPr>
          <w:b/>
          <w:color w:val="FFFFFF"/>
          <w:sz w:val="22"/>
        </w:rPr>
        <w:t xml:space="preserve">SYNTHÈSE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color w:val="262626"/>
        </w:rPr>
        <w:t xml:space="preserve">Consultant senior en transformation Finance et directeur de programme, plus de 25 ans en assurance, réassurance et gestion d'actifs : </w:t>
      </w:r>
      <w:r>
        <w:rPr>
          <w:b/>
          <w:bCs/>
          <w:color w:val="262626"/>
        </w:rPr>
        <w:t xml:space="preserve">expertise comptable technique</w:t>
      </w:r>
      <w:r>
        <w:rPr>
          <w:color w:val="262626"/>
        </w:rPr>
        <w:t xml:space="preserve">, </w:t>
      </w:r>
      <w:r>
        <w:rPr>
          <w:b/>
          <w:bCs/>
          <w:color w:val="262626"/>
        </w:rPr>
        <w:t xml:space="preserve">discipline PMO</w:t>
      </w:r>
      <w:r>
        <w:rPr>
          <w:color w:val="262626"/>
        </w:rPr>
        <w:t xml:space="preserve"> et conduite opérationnelle des </w:t>
      </w:r>
      <w:r>
        <w:rPr>
          <w:b/>
          <w:bCs/>
          <w:color w:val="262626"/>
        </w:rPr>
        <w:t xml:space="preserve">mises en production</w:t>
      </w:r>
      <w:r>
        <w:rPr>
          <w:color w:val="262626"/>
        </w:rPr>
        <w:t xml:space="preserve">.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color w:val="262626"/>
        </w:rPr>
        <w:t xml:space="preserve">Expertises : implémentation </w:t>
      </w:r>
      <w:r>
        <w:rPr>
          <w:b/>
          <w:bCs/>
          <w:color w:val="262626"/>
        </w:rPr>
        <w:t xml:space="preserve">IFRS 9 / IFRS 17 / Solvabilité II</w:t>
      </w:r>
      <w:r>
        <w:rPr>
          <w:color w:val="262626"/>
        </w:rPr>
        <w:t xml:space="preserve">, refonte du </w:t>
      </w:r>
      <w:r>
        <w:rPr>
          <w:b/>
          <w:bCs/>
          <w:color w:val="262626"/>
        </w:rPr>
        <w:t xml:space="preserve">Record-to-Report</w:t>
      </w:r>
      <w:r>
        <w:rPr>
          <w:color w:val="262626"/>
        </w:rPr>
        <w:t xml:space="preserve">, modèle opératoire de la Finance, </w:t>
      </w:r>
      <w:r>
        <w:rPr>
          <w:b/>
          <w:bCs/>
          <w:color w:val="262626"/>
        </w:rPr>
        <w:t xml:space="preserve">optimisation de la clôture</w:t>
      </w:r>
      <w:r>
        <w:rPr>
          <w:color w:val="262626"/>
        </w:rPr>
        <w:t xml:space="preserve"> (J+4 → J+2, J+5 → J+3), automatisation du reporting réglementaire, gouvernance de programme au niveau direction générale (CFO, COO, DSI).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color w:val="262626"/>
        </w:rPr>
        <w:t xml:space="preserve">Missions types : </w:t>
      </w:r>
      <w:r>
        <w:rPr>
          <w:b/>
          <w:bCs/>
          <w:color w:val="262626"/>
        </w:rPr>
        <w:t xml:space="preserve">direction de programme et PMO</w:t>
      </w:r>
      <w:r>
        <w:rPr>
          <w:color w:val="262626"/>
        </w:rPr>
        <w:t xml:space="preserve">, management de transition, modèle opératoire cible, implémentation de plateformes Finance SaaS et ERP (Clearwater Analytics, SimCorp Dimension, SAP S/4HANA), automatisation des processus et </w:t>
      </w:r>
      <w:r>
        <w:rPr>
          <w:b/>
          <w:bCs/>
          <w:color w:val="262626"/>
        </w:rPr>
        <w:t xml:space="preserve">contrôles fondés sur l'IA</w:t>
      </w:r>
      <w:r>
        <w:rPr>
          <w:color w:val="262626"/>
        </w:rPr>
        <w:t xml:space="preserve">, migration de données et recette.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b/>
          <w:bCs/>
          <w:color w:val="262626"/>
        </w:rPr>
        <w:t xml:space="preserve">Bilingue français / anglais</w:t>
      </w:r>
      <w:r>
        <w:rPr>
          <w:color w:val="262626"/>
        </w:rPr>
        <w:t xml:space="preserve">. Basé à Paris ; missions hybrides en France et en Europe.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RÉALISATIONS EN TRANSFORMATION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Pilotage de programme</w:t>
      </w:r>
      <w:r>
        <w:rPr>
          <w:color w:val="262626"/>
        </w:rPr>
        <w:t xml:space="preserve">  —  Clearwater Analytics (implémentations SaaS en parallèle, comités sponsors mensuels, Monday.com comme référentiel unique) ; SimCorp Dimension chez SCOR Investment Partners (équipe de 12 personnes) et CNP Assurances (Lead Business Owner, environ 350 Md€)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Clôture et Record-to-Report</w:t>
      </w:r>
      <w:r>
        <w:rPr>
          <w:color w:val="262626"/>
        </w:rPr>
        <w:t xml:space="preserve">  —  J+4 → J+2 par l'architecture STP (Clearwater) ; J+5 → J+3 par l'automatisation SAP S/4HANA et SAP → SAP BFC (Coface) ; Fast Close (CNP Assurances)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Transformation réglementaire</w:t>
      </w:r>
      <w:r>
        <w:rPr>
          <w:color w:val="262626"/>
        </w:rPr>
        <w:t xml:space="preserve">  —  IFRS 9 chez Coface, déployé par étapes sur quatre ans (POC, méthodologie ECL, schémas comptables, recette, coordination avec le dépositaire) ; IFRS 9 / IFRS 17 / Solvabilité II chez AXA XL (éligibilité PAA, clôture à blanc, modèle opératoire cible)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Automatisation et IA</w:t>
      </w:r>
      <w:r>
        <w:rPr>
          <w:color w:val="262626"/>
        </w:rPr>
        <w:t xml:space="preserve">  —  contrôles et rapprochement tripartite fondés sur l'IA (Clearwater) ; Power Query, VBA et SAP FC Publisher (Coface) ; Data Warehouse placements sous SAS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Management d'équipes</w:t>
      </w:r>
      <w:r>
        <w:rPr>
          <w:color w:val="262626"/>
        </w:rPr>
        <w:t xml:space="preserve">  —  création de la BU Assurance de Primexis (20 consultants, 10 clients, 3 M€ de chiffre d'affaires, membre du Comex) ; équipes projet de 10 à 15 personnes (SCOR, Clearwater) ; équipe de 16 personnes (Coface)</w:t>
      </w:r>
    </w:p>
    <w:p w14:paraId="44172433" w14:textId="2D0CC68C" w:rsidR="004B17F9" w:rsidRPr="0013741E" w:rsidRDefault="00000000" w:rsidP="00791555">
      <w:pPr>
        <w:spacing w:before="60" w:after="60"/>
        <w:ind w:left="120" w:right="120"/>
        <w:rPr>
          <w:color w:val="FFFFFF" w:themeColor="background1"/>
          <w:sz w:val="4"/>
          <w:szCs w:val="4"/>
        </w:rPr>
      </w:pPr>
      <w:r>
        <w:rPr>
          <w:color w:val="FFFFFF" w:themeColor="background1"/>
          <w:sz w:val="4"/>
          <w:szCs w:val="4"/>
        </w:rPr>
        <w:t xml:space="preserve">Transformation Finance  |  Management de transition  |  PMO  |  Direction de programme  |  Direction financière  |  IFRS 9  |  IFRS 17  |  Solvabilité II  |  Comptabilité des placements  |  Record to Report  |  Clôture  |  Fast close  |  Reporting réglementaire  |  Modèle opératoire cible  |  Automatisation des processus  |  Contrôles fondés sur l'IA  |  Plateformes SaaS  |  Gouvernance des données  |  Recette (UAT)  |  Migration de données  |  Mise en production  |  Conduite du changement  |  Gouvernance de programme  |  Comité de pilotage  |  RAID  |  Monday.com  |  SimCorp Dimension  |  Clearwater Analytics  |  SAP S/4HANA  |  SAP BFC  |  Bloomberg  |  Power BI  |  SAS  |  Finance Transformation  |  Interim Management  |  Programme Delivery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EXPÉRIENCE PROFESSIONNELLE</w:t>
      </w: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Clearwater Analytics</w:t>
      </w:r>
      <w:r>
        <w:rPr>
          <w:color w:val="595959"/>
        </w:rPr>
        <w:t xml:space="preserve">  ·  nov. 2024 – juin 2026  (20 mois)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Directeur de programme senior — Plateforme d'investissement cloud et automatisation de la Finance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Pilotage de bout en bout de l'implémentation de la plateforme </w:t>
      </w:r>
      <w:r>
        <w:rPr>
          <w:b/>
          <w:color w:val="262626"/>
        </w:rPr>
        <w:t xml:space="preserve">SaaS Clearwater Analytics</w:t>
      </w:r>
      <w:r>
        <w:rPr>
          <w:color w:val="262626"/>
        </w:rPr>
        <w:t xml:space="preserve"> pour un réassureur français (</w:t>
      </w:r>
      <w:r>
        <w:rPr>
          <w:b/>
          <w:color w:val="262626"/>
        </w:rPr>
        <w:t xml:space="preserve">11 Md€ d'actifs</w:t>
      </w:r>
      <w:r>
        <w:rPr>
          <w:color w:val="262626"/>
        </w:rPr>
        <w:t xml:space="preserve"> : taux, TCN, fonds cotés, fonds fermés), en remplacement d'un système </w:t>
      </w:r>
      <w:r>
        <w:rPr>
          <w:b/>
          <w:color w:val="262626"/>
        </w:rPr>
        <w:t xml:space="preserve">Linedata Chorus</w:t>
      </w:r>
      <w:r>
        <w:rPr>
          <w:color w:val="262626"/>
        </w:rPr>
        <w:t xml:space="preserve"> (second remplacement de Chorus après SCOR IP, 2008–2012).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Pilotage en parallèle de </w:t>
      </w:r>
      <w:r>
        <w:rPr>
          <w:b/>
          <w:color w:val="262626"/>
        </w:rPr>
        <w:t xml:space="preserve">plusieurs implémentations</w:t>
      </w:r>
      <w:r>
        <w:rPr>
          <w:color w:val="262626"/>
        </w:rPr>
        <w:t xml:space="preserve"> (dont une holding d'investissement luxembourgeoise), avec une gestion consolidée des livrables, jalons et ressources sur un outil dédié (</w:t>
      </w:r>
      <w:r>
        <w:rPr>
          <w:b/>
          <w:color w:val="262626"/>
        </w:rPr>
        <w:t xml:space="preserve">Monday.com</w:t>
      </w:r>
      <w:r>
        <w:rPr>
          <w:color w:val="262626"/>
        </w:rPr>
        <w:t xml:space="preserve">).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b/>
          <w:color w:val="262626"/>
        </w:rPr>
        <w:t xml:space="preserve">Straight-through processing (STP)</w:t>
      </w:r>
      <w:r>
        <w:rPr>
          <w:color w:val="262626"/>
        </w:rPr>
        <w:t xml:space="preserve"> complet : gestion des ordres → comptabilité → reporting Solvabilité II, sans ressaisie entre FO, MO, BO et IT ; clôture ramenée de </w:t>
      </w:r>
      <w:r>
        <w:rPr>
          <w:b/>
          <w:color w:val="262626"/>
        </w:rPr>
        <w:t xml:space="preserve">J+4 à J+2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Automatisation du rapprochement dépositaire et bancaire : fréquence passée </w:t>
      </w:r>
      <w:r>
        <w:rPr>
          <w:b/>
          <w:color w:val="262626"/>
        </w:rPr>
        <w:t xml:space="preserve">d'hebdomadaire à quotidienne</w:t>
      </w:r>
      <w:r>
        <w:rPr>
          <w:color w:val="262626"/>
        </w:rPr>
        <w:t xml:space="preserve"> ; </w:t>
      </w:r>
      <w:r>
        <w:rPr>
          <w:b/>
          <w:color w:val="262626"/>
        </w:rPr>
        <w:t xml:space="preserve">rapprochement tripartite assisté par l'IA</w:t>
      </w:r>
      <w:r>
        <w:rPr>
          <w:color w:val="262626"/>
        </w:rPr>
        <w:t xml:space="preserve"> (Front Office / Back Office / dépositaire) avec pré-diagnostic automatique des écarts.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Mise en place, pour le client, de </w:t>
      </w:r>
      <w:r>
        <w:rPr>
          <w:b/>
          <w:color w:val="262626"/>
        </w:rPr>
        <w:t xml:space="preserve">contrôles et d'alertes fondés sur l'IA intégrée à l'outil</w:t>
      </w:r>
      <w:r>
        <w:rPr>
          <w:color w:val="262626"/>
        </w:rPr>
        <w:t xml:space="preserve"> : variations de prix, réception des données, instructions sur fonds fermés (appels de fonds, valorisations).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Implémentation multi-modules (CW CORE, OMS/Jump, LPx) ; interfaces avec Bloomberg TSOX et Data License, CODA (GL) et le reporting Solvabilité II.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Gouvernance : comités sponsors mensuels de niveau direction générale (FR/EN), RAID log (plus de 10 risques critiques) ; mises en production OMS (déc. 2025) et CORE (avr. 2026).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Coface  —  Direction financière Groupe</w:t>
      </w:r>
      <w:r>
        <w:rPr>
          <w:color w:val="595959"/>
        </w:rPr>
        <w:t xml:space="preserve">  ·  mai 2017 – mai 2018  +  janv. 2020 – oct. 2024  (5 ans)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Responsable Groupe de la comptabilité des placements  /  Chef de projet IFRS 9</w:t>
      </w:r>
    </w:p>
    <w:p w14:paraId="3777882A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 xml:space="preserve">Responsable Groupe de la comptabilité des placements  (janv. 2023 – oct. 2024)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Direction de la comptabilité des placements d'un </w:t>
      </w:r>
      <w:r>
        <w:rPr>
          <w:b/>
          <w:color w:val="262626"/>
        </w:rPr>
        <w:t xml:space="preserve">portefeuille Groupe d'environ 3 Md€</w:t>
      </w:r>
      <w:r>
        <w:rPr>
          <w:color w:val="262626"/>
        </w:rPr>
        <w:t xml:space="preserve"> délégué à CACEIS (plateforme Neoxam GP3/GP4), pour </w:t>
      </w:r>
      <w:r>
        <w:rPr>
          <w:b/>
          <w:color w:val="262626"/>
        </w:rPr>
        <w:t xml:space="preserve">une vingtaine d'entités internationales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Industrialisation du </w:t>
      </w:r>
      <w:r>
        <w:rPr>
          <w:b/>
          <w:color w:val="262626"/>
        </w:rPr>
        <w:t xml:space="preserve">Record-to-Report</w:t>
      </w:r>
      <w:r>
        <w:rPr>
          <w:color w:val="262626"/>
        </w:rPr>
        <w:t xml:space="preserve"> : traitements </w:t>
      </w:r>
      <w:r>
        <w:rPr>
          <w:b/>
          <w:color w:val="262626"/>
        </w:rPr>
        <w:t xml:space="preserve">Power Query</w:t>
      </w:r>
      <w:r>
        <w:rPr>
          <w:color w:val="262626"/>
        </w:rPr>
        <w:t xml:space="preserve"> des données mensuelles CACEIS (rapprochements comptabilité / gestion et SAP / CACEIS, change, contrôles de variation de prix) ; </w:t>
      </w:r>
      <w:r>
        <w:rPr>
          <w:b/>
          <w:color w:val="262626"/>
        </w:rPr>
        <w:t xml:space="preserve">macros VBA</w:t>
      </w:r>
      <w:r>
        <w:rPr>
          <w:color w:val="262626"/>
        </w:rPr>
        <w:t xml:space="preserve"> de conversion GP3 → SAP ; automatisation </w:t>
      </w:r>
      <w:r>
        <w:rPr>
          <w:b/>
          <w:color w:val="262626"/>
        </w:rPr>
        <w:t xml:space="preserve">SAP FC Publisher</w:t>
      </w:r>
      <w:r>
        <w:rPr>
          <w:color w:val="262626"/>
        </w:rPr>
        <w:t xml:space="preserve"> pour la consolidation BFC.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Automatisation des interfaces placements SAP S/4HANA et de la chaîne SAP → SAP BFC : clôture ramenée de </w:t>
      </w:r>
      <w:r>
        <w:rPr>
          <w:b/>
          <w:color w:val="262626"/>
        </w:rPr>
        <w:t xml:space="preserve">J+5 à J+3</w:t>
      </w:r>
      <w:r>
        <w:rPr>
          <w:color w:val="262626"/>
        </w:rPr>
        <w:t xml:space="preserve"> ; tableau de bord </w:t>
      </w:r>
      <w:r>
        <w:rPr>
          <w:b/>
          <w:color w:val="262626"/>
        </w:rPr>
        <w:t xml:space="preserve">Power BI</w:t>
      </w:r>
      <w:r>
        <w:rPr>
          <w:color w:val="262626"/>
        </w:rPr>
        <w:t xml:space="preserve"> des placements pour la direction générale.</w:t>
      </w:r>
    </w:p>
    <w:p w14:paraId="3777882A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 xml:space="preserve">Chef de projet IFRS 9  (janv. 2020 – déc. 2022)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Pilotage des chantiers Finance d'IFRS 9, </w:t>
      </w:r>
      <w:r>
        <w:rPr>
          <w:b/>
          <w:color w:val="262626"/>
        </w:rPr>
        <w:t xml:space="preserve">déployé par étapes sur quatre ans</w:t>
      </w:r>
      <w:r>
        <w:rPr>
          <w:color w:val="262626"/>
        </w:rPr>
        <w:t xml:space="preserve"> : POC successifs, méthodologie ECL, schémas comptables, recette, coordination avec le dépositaire CACEIS.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Conception de bout en bout du </w:t>
      </w:r>
      <w:r>
        <w:rPr>
          <w:b/>
          <w:color w:val="262626"/>
        </w:rPr>
        <w:t xml:space="preserve">modèle ECL (pertes de crédit attendues)</w:t>
      </w:r>
      <w:r>
        <w:rPr>
          <w:color w:val="262626"/>
        </w:rPr>
        <w:t xml:space="preserve"> sur matrices de risque externes, implémenté sous </w:t>
      </w:r>
      <w:r>
        <w:rPr>
          <w:b/>
          <w:color w:val="262626"/>
        </w:rPr>
        <w:t xml:space="preserve">SAS</w:t>
      </w:r>
      <w:r>
        <w:rPr>
          <w:color w:val="262626"/>
        </w:rPr>
        <w:t xml:space="preserve">, la Finance étant seule propriétaire du modèle ; analyse mensuelle des écarts ; validation des schémas comptables de transition, refonte du calendrier de clôture.</w:t>
      </w:r>
    </w:p>
    <w:p w14:paraId="3777882A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 xml:space="preserve">Première mission  (mai 2017 – mai 2018)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Responsable de la comptabilité technique : production de la comptabilité des placements, reporting réglementaire, modèle opératoire.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Création d'un </w:t>
      </w:r>
      <w:r>
        <w:rPr>
          <w:b/>
          <w:color w:val="262626"/>
        </w:rPr>
        <w:t xml:space="preserve">Data Warehouse placements sous SAS</w:t>
      </w:r>
      <w:r>
        <w:rPr>
          <w:color w:val="262626"/>
        </w:rPr>
        <w:t xml:space="preserve"> (champs, structure des tables, contrôle des inputs et des outputs, reporting de gestion), socle du modèle ECL IFRS 9 de 2020.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AXA XL  —  Finance IARD</w:t>
      </w:r>
      <w:r>
        <w:rPr>
          <w:color w:val="595959"/>
        </w:rPr>
        <w:t xml:space="preserve">  ·  mai 2018 – juil. 2019  (15 mois)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Finance Stream Leader — IFRS 9 / IFRS 17 / Solvabilité II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Pilotage de l'étude d'impact et des chantiers Finance d'une transformation combinée </w:t>
      </w:r>
      <w:r>
        <w:rPr>
          <w:b/>
          <w:color w:val="262626"/>
        </w:rPr>
        <w:t xml:space="preserve">IFRS 9, IFRS 17 et Solvabilité II</w:t>
      </w:r>
      <w:r>
        <w:rPr>
          <w:color w:val="262626"/>
        </w:rPr>
        <w:t xml:space="preserve"> dans une entité IARD du groupe AXA.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IFRS 17 : confirmation de l'</w:t>
      </w:r>
      <w:r>
        <w:rPr>
          <w:b/>
          <w:color w:val="262626"/>
        </w:rPr>
        <w:t xml:space="preserve">éligibilité à la PAA</w:t>
      </w:r>
      <w:r>
        <w:rPr>
          <w:color w:val="262626"/>
        </w:rPr>
        <w:t xml:space="preserve"> pour toutes les familles de contrats (couverture ≤ 1 an) ; </w:t>
      </w:r>
      <w:r>
        <w:rPr>
          <w:b/>
          <w:color w:val="262626"/>
        </w:rPr>
        <w:t xml:space="preserve">clôture à blanc</w:t>
      </w:r>
      <w:r>
        <w:rPr>
          <w:color w:val="262626"/>
        </w:rPr>
        <w:t xml:space="preserve"> IFRS 17 au 31 décembre 2017 sur un modèle interne SAS (dérivé du modèle Groupe) : </w:t>
      </w:r>
      <w:r>
        <w:rPr>
          <w:b/>
          <w:color w:val="262626"/>
        </w:rPr>
        <w:t xml:space="preserve">impact de transition d'environ 25 M€</w:t>
      </w:r>
      <w:r>
        <w:rPr>
          <w:color w:val="262626"/>
        </w:rPr>
        <w:t xml:space="preserve"> sur les capitaux propres et écart d'environ 1,5 point de ratio combiné sur 8 lignes de métier.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Définition du </w:t>
      </w:r>
      <w:r>
        <w:rPr>
          <w:b/>
          <w:color w:val="262626"/>
        </w:rPr>
        <w:t xml:space="preserve">modèle opératoire cible</w:t>
      </w:r>
      <w:r>
        <w:rPr>
          <w:color w:val="262626"/>
        </w:rPr>
        <w:t xml:space="preserve"> : organisation, processus, outils comptables et architecture de reporting sous les nouvelles normes.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Supervision des livrables Solvabilité II — QRT (Invoke), contributions à l'ORSA, au RSR et au SFCR ; co-animation des comités de pilotage avec la Finance, l'Actuariat, les Risques, la Réassurance, l'IT et l'audit externe.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CNP Assurances</w:t>
      </w:r>
      <w:r>
        <w:rPr>
          <w:color w:val="595959"/>
        </w:rPr>
        <w:t xml:space="preserve">  ·  2013 – 2017  (4 ans)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Lead Business Owner SimCorp Dimension  /  Responsable de la production financière et Solvabilité II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Lead Business Owner de l'implémentation de </w:t>
      </w:r>
      <w:r>
        <w:rPr>
          <w:b/>
          <w:color w:val="262626"/>
        </w:rPr>
        <w:t xml:space="preserve">SimCorp Dimension</w:t>
      </w:r>
      <w:r>
        <w:rPr>
          <w:color w:val="262626"/>
        </w:rPr>
        <w:t xml:space="preserve"> chez l'un des premiers assureurs vie français : </w:t>
      </w:r>
      <w:r>
        <w:rPr>
          <w:b/>
          <w:color w:val="262626"/>
        </w:rPr>
        <w:t xml:space="preserve">environ 350 Md€ d'encours</w:t>
      </w:r>
      <w:r>
        <w:rPr>
          <w:color w:val="262626"/>
        </w:rPr>
        <w:t xml:space="preserve">, l'une des plus grandes implémentations SimCorp d'Europe, sur toute la chaîne ABOR et Solvabilité II.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Pilotage de l'ensemble du volet métier : ateliers d'expression des besoins, conception fonctionnelle, règles comptables et schémas d'écritures multi-référentiels, contrôles, reporting Solvabilité II, recette, migration des données, préparation de la mise en production.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Responsable de l'unité Production financière et Solvabilité II (mai–déc. 2013, 5 personnes) : refonte du </w:t>
      </w:r>
      <w:r>
        <w:rPr>
          <w:b/>
          <w:color w:val="262626"/>
        </w:rPr>
        <w:t xml:space="preserve">modèle de projection du résultat financier</w:t>
      </w:r>
      <w:r>
        <w:rPr>
          <w:color w:val="262626"/>
        </w:rPr>
        <w:t xml:space="preserve"> ; feuille de route d'</w:t>
      </w:r>
      <w:r>
        <w:rPr>
          <w:b/>
          <w:color w:val="262626"/>
        </w:rPr>
        <w:t xml:space="preserve">Access</w:t>
      </w:r>
      <w:r>
        <w:rPr>
          <w:color w:val="262626"/>
        </w:rPr>
        <w:t xml:space="preserve"> vers </w:t>
      </w:r>
      <w:r>
        <w:rPr>
          <w:b/>
          <w:color w:val="262626"/>
        </w:rPr>
        <w:t xml:space="preserve">SAS</w:t>
      </w:r>
      <w:r>
        <w:rPr>
          <w:color w:val="262626"/>
        </w:rPr>
        <w:t xml:space="preserve"> et </w:t>
      </w:r>
      <w:r>
        <w:rPr>
          <w:b/>
          <w:color w:val="262626"/>
        </w:rPr>
        <w:t xml:space="preserve">QlikView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Référent ABOR du chantier Fast Close : cut-off, portefeuilles en unités de compte, rapprochement comptabilité / gestion.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Primexis</w:t>
      </w:r>
      <w:r>
        <w:rPr>
          <w:color w:val="595959"/>
        </w:rPr>
        <w:t xml:space="preserve">  ·  oct. 2008 – avr. 2013  (4,5 ans)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Directeur associé — BU Assurance  /  Chef de projet SimCorp chez SCOR Investment Partners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En parallèle, chef de projet SimCorp Dimension chez SCOR Investment Partners (nov. 2008 – mai 2012, 3,5 ans) : migration de </w:t>
      </w:r>
      <w:r>
        <w:rPr>
          <w:b/>
          <w:color w:val="262626"/>
        </w:rPr>
        <w:t xml:space="preserve">Linedata Chorus</w:t>
      </w:r>
      <w:r>
        <w:rPr>
          <w:color w:val="262626"/>
        </w:rPr>
        <w:t xml:space="preserve"> (MO/BO/comptabilité) vers </w:t>
      </w:r>
      <w:r>
        <w:rPr>
          <w:b/>
          <w:color w:val="262626"/>
        </w:rPr>
        <w:t xml:space="preserve">SimCorp Dimension</w:t>
      </w:r>
      <w:r>
        <w:rPr>
          <w:color w:val="262626"/>
        </w:rPr>
        <w:t xml:space="preserve"> pour le siège et les entités étrangères — </w:t>
      </w:r>
      <w:r>
        <w:rPr>
          <w:b/>
          <w:color w:val="262626"/>
        </w:rPr>
        <w:t xml:space="preserve">20 Md€ d'actifs</w:t>
      </w:r>
      <w:r>
        <w:rPr>
          <w:color w:val="262626"/>
        </w:rPr>
        <w:t xml:space="preserve">, équipe de 12 personnes ; Bloomberg (FO) entièrement interfacé.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Conception et mise en œuvre de l'</w:t>
      </w:r>
      <w:r>
        <w:rPr>
          <w:b/>
          <w:color w:val="262626"/>
        </w:rPr>
        <w:t xml:space="preserve">automatisation de la transparisation</w:t>
      </w:r>
      <w:r>
        <w:rPr>
          <w:color w:val="262626"/>
        </w:rPr>
        <w:t xml:space="preserve"> : consolidation des actifs sous-jacents, sensibilités et transparisation Solvabilité II, en remplacement des retraitements manuels.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Migration du portefeuille américain, produits structurés compris ; reporting placements conforme AMF et réorganisation des succursales des filiales étrangères.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Directeur associé chez Primexis : création de la </w:t>
      </w:r>
      <w:r>
        <w:rPr>
          <w:b/>
          <w:color w:val="262626"/>
        </w:rPr>
        <w:t xml:space="preserve">BU Assurance</w:t>
      </w:r>
      <w:r>
        <w:rPr>
          <w:color w:val="262626"/>
        </w:rPr>
        <w:t xml:space="preserve"> (20 consultants, 10 clients, </w:t>
      </w:r>
      <w:r>
        <w:rPr>
          <w:b/>
          <w:color w:val="262626"/>
        </w:rPr>
        <w:t xml:space="preserve">3 M€ de chiffre d'affaires</w:t>
      </w:r>
      <w:r>
        <w:rPr>
          <w:color w:val="262626"/>
        </w:rPr>
        <w:t xml:space="preserve">) ; membre du Comex ; pilotage de toutes les réponses aux appels d'offres assurance (cadrage, chiffrage, tarification).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SCOR  —  Direction des investissements</w:t>
      </w:r>
      <w:r>
        <w:rPr>
          <w:color w:val="595959"/>
        </w:rPr>
        <w:t xml:space="preserve">  ·  oct. 2005 – sept. 2008  (3 ans)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Responsable des projets de transformation  /  Responsable de la consolidation Groupe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Chief transformation officer de la fonction investissement : passage de la direction des investissements à une structure de gestion d'actifs autonome, </w:t>
      </w:r>
      <w:r>
        <w:rPr>
          <w:b/>
          <w:color w:val="262626"/>
        </w:rPr>
        <w:t xml:space="preserve">Bloomberg (FO) + Linedata Chorus (MO/BO/comptabilité)</w:t>
      </w:r>
      <w:r>
        <w:rPr>
          <w:color w:val="262626"/>
        </w:rPr>
        <w:t xml:space="preserve"> remplacés par une plateforme intégrée du front à la comptabilité.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Cadrage et appels d'offres (RFI/RFP) de la plateforme d'investissement et de l'outil d'attribution de performance ; sélection de </w:t>
      </w:r>
      <w:r>
        <w:rPr>
          <w:b/>
          <w:color w:val="262626"/>
        </w:rPr>
        <w:t xml:space="preserve">SimCorp Dimension</w:t>
      </w:r>
      <w:r>
        <w:rPr>
          <w:color w:val="262626"/>
        </w:rPr>
        <w:t xml:space="preserve"> et gouvernance de son implémentation. Budget : </w:t>
      </w:r>
      <w:r>
        <w:rPr>
          <w:b/>
          <w:color w:val="262626"/>
        </w:rPr>
        <w:t xml:space="preserve">3 M€ par an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Responsable de la consolidation Groupe et des normes comptables (oct. 2005 – juil. 2006) : consolidation trimestrielle IFRS et annuelle US GAAP ; politique comptable Groupe ; équipe de 5 personnes.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Coface  —  Direction financière Groupe</w:t>
      </w:r>
      <w:r>
        <w:rPr>
          <w:color w:val="595959"/>
        </w:rPr>
        <w:t xml:space="preserve">  ·  mai 2004 – oct. 2005  (18 mois)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Responsable de la comptabilité technique et du provisionnement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Conception et mise en œuvre d'une </w:t>
      </w:r>
      <w:r>
        <w:rPr>
          <w:b/>
          <w:color w:val="262626"/>
        </w:rPr>
        <w:t xml:space="preserve">méthode de provisionnement stochastique Bornhuetter-Ferguson</w:t>
      </w:r>
      <w:r>
        <w:rPr>
          <w:color w:val="262626"/>
        </w:rPr>
        <w:t xml:space="preserve">, en remplacement de l'estimation manuelle ; accélération de la clôture.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Comptabilité des placements et comptabilité technique d'assurance ; rapprochements intragroupe ; coordination avec la Direction financière Groupe ; équipe de 16 personnes.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Mazars</w:t>
      </w:r>
      <w:r>
        <w:rPr>
          <w:color w:val="595959"/>
        </w:rPr>
        <w:t xml:space="preserve">  ·  sept. 1999 – mai 2004  (5 ans)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Manager audit — Assurance et réassurance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Commissariat aux comptes, contrôle interne, due diligence et accompagnement de transactions pour des assureurs et réassureurs ; revues de la fonction placements.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FORMATION &amp; CERTIFICATIONS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ESCP Business School</w:t>
      </w:r>
      <w:r>
        <w:rPr>
          <w:color w:val="262626"/>
        </w:rPr>
        <w:t xml:space="preserve">  —  Programme Grande École — Master in Management  |  Option Finance</w:t>
      </w:r>
      <w:r>
        <w:rPr>
          <w:color w:val="595959"/>
          <w:sz w:val="18"/>
        </w:rPr>
        <w:t xml:space="preserve">  |  1991–1995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Centre d'Études Actuarielles, Paris</w:t>
      </w:r>
      <w:r>
        <w:rPr>
          <w:color w:val="262626"/>
        </w:rPr>
        <w:t xml:space="preserve">  —  ensemble des épreuves validées</w:t>
      </w:r>
      <w:r>
        <w:rPr>
          <w:color w:val="595959"/>
          <w:sz w:val="18"/>
        </w:rPr>
        <w:t xml:space="preserve">  |  2002–2004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ENOES — École de l'Expertise Comptable</w:t>
      </w:r>
      <w:r>
        <w:rPr>
          <w:color w:val="262626"/>
        </w:rPr>
        <w:t xml:space="preserve">  —  D.E.C.F.</w:t>
      </w:r>
      <w:r>
        <w:rPr>
          <w:color w:val="595959"/>
          <w:sz w:val="18"/>
        </w:rPr>
        <w:t xml:space="preserve">  |  2001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Université Paris Dauphine – PSL</w:t>
      </w:r>
      <w:r>
        <w:rPr>
          <w:color w:val="262626"/>
        </w:rPr>
        <w:t xml:space="preserve">  —  DEA de macroéconomie</w:t>
      </w:r>
      <w:r>
        <w:rPr>
          <w:color w:val="595959"/>
          <w:sz w:val="18"/>
        </w:rPr>
        <w:t xml:space="preserve">  |  1995–1996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Project Management Institute</w:t>
      </w:r>
      <w:r>
        <w:rPr>
          <w:color w:val="262626"/>
        </w:rPr>
        <w:t xml:space="preserve">  —  PMP® — Project Management Professional (certification active)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Certifications</w:t>
      </w:r>
      <w:r>
        <w:rPr>
          <w:color w:val="262626"/>
        </w:rPr>
        <w:t xml:space="preserve">  —  Generative AI Primer  |  GenAI for Account Executives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LANGUES &amp; DISPONIBILITÉ</w:t>
      </w:r>
    </w:p>
    <w:p w14:paraId="53A268A1" w14:textId="14EA7854" w:rsidR="004B17F9" w:rsidRDefault="00000000">
      <w:pPr>
        <w:spacing w:before="80" w:after="80"/>
        <w:ind w:left="180"/>
      </w:pPr>
      <w:r>
        <w:rPr>
          <w:color w:val="262626"/>
        </w:rPr>
        <w:t xml:space="preserve">Français : langue maternelle  |  Anglais : courant professionnel (C1/C2)</w:t>
      </w:r>
    </w:p>
    <w:p w14:paraId="1894C494" w14:textId="77777777" w:rsidR="004B17F9" w:rsidRDefault="00000000">
      <w:pPr>
        <w:spacing w:after="80"/>
        <w:ind w:left="180"/>
      </w:pPr>
      <w:r>
        <w:rPr>
          <w:color w:val="262626"/>
        </w:rPr>
        <w:t xml:space="preserve">Disponible immédiatement  |  Hybride, Paris / Île-de-France  |  Europe : Royaume-Uni, Irlande, Benelux, Suisse</w:t>
      </w:r>
    </w:p>
    <w:sectPr w:rsidR="004B17F9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37075"/>
    <w:multiLevelType w:val="hybridMultilevel"/>
    <w:tmpl w:val="2EB66DBC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79947A5E"/>
    <w:multiLevelType w:val="hybridMultilevel"/>
    <w:tmpl w:val="705CEEE4"/>
    <w:lvl w:ilvl="0" w:tplc="040C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319575198">
    <w:abstractNumId w:val="8"/>
  </w:num>
  <w:num w:numId="2" w16cid:durableId="829560583">
    <w:abstractNumId w:val="6"/>
  </w:num>
  <w:num w:numId="3" w16cid:durableId="1552499846">
    <w:abstractNumId w:val="5"/>
  </w:num>
  <w:num w:numId="4" w16cid:durableId="1850682786">
    <w:abstractNumId w:val="4"/>
  </w:num>
  <w:num w:numId="5" w16cid:durableId="897589947">
    <w:abstractNumId w:val="7"/>
  </w:num>
  <w:num w:numId="6" w16cid:durableId="1005205406">
    <w:abstractNumId w:val="3"/>
  </w:num>
  <w:num w:numId="7" w16cid:durableId="1757703315">
    <w:abstractNumId w:val="2"/>
  </w:num>
  <w:num w:numId="8" w16cid:durableId="1139685493">
    <w:abstractNumId w:val="1"/>
  </w:num>
  <w:num w:numId="9" w16cid:durableId="233243014">
    <w:abstractNumId w:val="0"/>
  </w:num>
  <w:num w:numId="10" w16cid:durableId="321861825">
    <w:abstractNumId w:val="9"/>
  </w:num>
  <w:num w:numId="11" w16cid:durableId="269555882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41E"/>
    <w:rsid w:val="0015074B"/>
    <w:rsid w:val="00182ED7"/>
    <w:rsid w:val="0029639D"/>
    <w:rsid w:val="002D3B92"/>
    <w:rsid w:val="00326F90"/>
    <w:rsid w:val="0044507F"/>
    <w:rsid w:val="004B17F9"/>
    <w:rsid w:val="00791555"/>
    <w:rsid w:val="00AA1D8D"/>
    <w:rsid w:val="00B47730"/>
    <w:rsid w:val="00CB0664"/>
    <w:rsid w:val="00CF0009"/>
    <w:rsid w:val="00E97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4FFE5A"/>
  <w14:defaultImageDpi w14:val="300"/>
  <w15:docId w15:val="{41C14C36-5BC1-D948-B300-F6256751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1595</Words>
  <Characters>10358</Characters>
  <Application>Microsoft Office Word</Application>
  <DocSecurity>0</DocSecurity>
  <Lines>152</Lines>
  <Paragraphs>92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Xavier Robitaille</dc:title>
  <dc:subject/>
  <dc:creator>Xavier Robitaille</dc:creator>
  <cp:keywords/>
  <dc:description>generated by python-docx</dc:description>
  <cp:lastModifiedBy>Xavier Robitaille</cp:lastModifiedBy>
  <cp:revision>2</cp:revision>
  <dcterms:created xsi:type="dcterms:W3CDTF">2026-09-27T22:16:00Z</dcterms:created>
  <dcterms:modified xsi:type="dcterms:W3CDTF">2026-09-27T22:16:00Z</dcterms:modified>
  <cp:category/>
</cp:coreProperties>
</file>