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2802" w14:textId="77777777" w:rsidR="009C000A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>XAVIER ROBITAILLE</w:t>
      </w:r>
    </w:p>
    <w:p w14:paraId="1A84A161" w14:textId="77777777" w:rsidR="009C000A" w:rsidRDefault="00000000">
      <w:pPr>
        <w:shd w:val="clear" w:color="auto" w:fill="1F3864"/>
        <w:spacing w:after="0" w:line="240" w:lineRule="auto"/>
        <w:jc w:val="center"/>
      </w:pPr>
      <w:r>
        <w:rPr>
          <w:color w:val="D6E4F0"/>
        </w:rPr>
        <w:t>IFRS 17 / IFRS 9 / Solvency II Specialist  |  Insurance Finance Transformation  |  Senior Consultant &amp; Programme Lead</w:t>
      </w:r>
    </w:p>
    <w:p w14:paraId="6D2FD91B" w14:textId="77777777" w:rsidR="009C000A" w:rsidRDefault="00000000">
      <w:pPr>
        <w:shd w:val="clear" w:color="auto" w:fill="2E75B6"/>
        <w:spacing w:before="60" w:after="60" w:line="240" w:lineRule="auto"/>
        <w:jc w:val="center"/>
      </w:pPr>
      <w:r>
        <w:rPr>
          <w:color w:val="FFFFFF"/>
          <w:sz w:val="18"/>
        </w:rPr>
        <w:t>+33 6 64 89 09 43  |  xrobitaille92150@gmail.com  |  linkedin.com/in/xrobitaille  |  Remote / international — available May 2026</w:t>
      </w:r>
    </w:p>
    <w:p w14:paraId="5FA8DCF7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EXECUTIVE SUMMARY</w:t>
      </w:r>
    </w:p>
    <w:p w14:paraId="729F5AE9" w14:textId="77777777" w:rsidR="00E3566E" w:rsidRPr="00E3566E" w:rsidRDefault="00000000" w:rsidP="00E3566E">
      <w:pPr>
        <w:pStyle w:val="Paragraphedeliste"/>
        <w:numPr>
          <w:ilvl w:val="0"/>
          <w:numId w:val="10"/>
        </w:numPr>
        <w:spacing w:before="80" w:after="80"/>
        <w:ind w:right="120"/>
      </w:pPr>
      <w:r w:rsidRPr="00E3566E">
        <w:rPr>
          <w:color w:val="262626"/>
        </w:rPr>
        <w:t xml:space="preserve">Senior finance consultant specialised in </w:t>
      </w:r>
      <w:r w:rsidRPr="00E3566E">
        <w:rPr>
          <w:b/>
          <w:bCs/>
          <w:color w:val="262626"/>
        </w:rPr>
        <w:t>insurance accounting transformation</w:t>
      </w:r>
      <w:r w:rsidRPr="00E3566E">
        <w:rPr>
          <w:color w:val="262626"/>
        </w:rPr>
        <w:t xml:space="preserve">, with 25+ years of experience across insurance, reinsurance and asset management. Deep, practical expertise in </w:t>
      </w:r>
      <w:r w:rsidRPr="00E3566E">
        <w:rPr>
          <w:b/>
          <w:bCs/>
          <w:color w:val="262626"/>
        </w:rPr>
        <w:t>IFRS 17</w:t>
      </w:r>
      <w:r w:rsidRPr="00E3566E">
        <w:rPr>
          <w:color w:val="262626"/>
        </w:rPr>
        <w:t xml:space="preserve">, </w:t>
      </w:r>
      <w:r w:rsidRPr="00E3566E">
        <w:rPr>
          <w:b/>
          <w:bCs/>
          <w:color w:val="262626"/>
        </w:rPr>
        <w:t>IFRS 9</w:t>
      </w:r>
      <w:r w:rsidRPr="00E3566E">
        <w:rPr>
          <w:color w:val="262626"/>
        </w:rPr>
        <w:t xml:space="preserve"> and </w:t>
      </w:r>
      <w:r w:rsidRPr="00E3566E">
        <w:rPr>
          <w:b/>
          <w:bCs/>
          <w:color w:val="262626"/>
        </w:rPr>
        <w:t>Solvency II</w:t>
      </w:r>
      <w:r w:rsidRPr="00E3566E">
        <w:rPr>
          <w:color w:val="262626"/>
        </w:rPr>
        <w:t xml:space="preserve">: from impact assessment and TOM design through dry-run closing, systems design, UAT and first-year live production. </w:t>
      </w:r>
    </w:p>
    <w:p w14:paraId="65EBAF51" w14:textId="77777777" w:rsidR="00E3566E" w:rsidRPr="00E3566E" w:rsidRDefault="00000000" w:rsidP="00E3566E">
      <w:pPr>
        <w:pStyle w:val="Paragraphedeliste"/>
        <w:numPr>
          <w:ilvl w:val="0"/>
          <w:numId w:val="10"/>
        </w:numPr>
        <w:spacing w:before="80" w:after="80"/>
        <w:ind w:right="120"/>
      </w:pPr>
      <w:r w:rsidRPr="00E3566E">
        <w:rPr>
          <w:color w:val="262626"/>
        </w:rPr>
        <w:t xml:space="preserve">Combines </w:t>
      </w:r>
      <w:r w:rsidRPr="00E3566E">
        <w:rPr>
          <w:b/>
          <w:bCs/>
          <w:color w:val="262626"/>
        </w:rPr>
        <w:t>actuarial</w:t>
      </w:r>
      <w:r w:rsidRPr="00E3566E">
        <w:rPr>
          <w:color w:val="262626"/>
        </w:rPr>
        <w:t xml:space="preserve"> training, </w:t>
      </w:r>
      <w:r w:rsidRPr="00E3566E">
        <w:rPr>
          <w:b/>
          <w:bCs/>
          <w:color w:val="262626"/>
        </w:rPr>
        <w:t>technical accounting</w:t>
      </w:r>
      <w:r w:rsidRPr="00E3566E">
        <w:rPr>
          <w:color w:val="262626"/>
        </w:rPr>
        <w:t xml:space="preserve"> and </w:t>
      </w:r>
      <w:r w:rsidRPr="00E3566E">
        <w:rPr>
          <w:b/>
          <w:bCs/>
          <w:color w:val="262626"/>
        </w:rPr>
        <w:t>programme delivery</w:t>
      </w:r>
      <w:r w:rsidRPr="00E3566E">
        <w:rPr>
          <w:color w:val="262626"/>
        </w:rPr>
        <w:t xml:space="preserve"> discipline — a rare profile able to operate credibly across Finance, Actuarial, Risk and IT simultaneously.</w:t>
      </w:r>
    </w:p>
    <w:p w14:paraId="7EF2EC9D" w14:textId="77777777" w:rsidR="00E3566E" w:rsidRPr="00E3566E" w:rsidRDefault="00000000" w:rsidP="00E3566E">
      <w:pPr>
        <w:pStyle w:val="Paragraphedeliste"/>
        <w:numPr>
          <w:ilvl w:val="0"/>
          <w:numId w:val="10"/>
        </w:numPr>
        <w:spacing w:before="80" w:after="80"/>
        <w:ind w:right="120"/>
      </w:pPr>
      <w:r w:rsidRPr="00E3566E">
        <w:rPr>
          <w:color w:val="262626"/>
        </w:rPr>
        <w:t>Track record includes: IFRS 9 Programme Manager at Coface (3 years, Finance as sole ECL model owner), IFRS 9/17/Solvency II Finance Stream Leader at AXA XL (PAA eligibility assessment, SAS-based dry-run, QRT/ORSA/RSR/SFCR delivery), Head of Technical Accounting and Reserving at Coface (Bornhuetter-Ferguson methodology), Group Head of Investment Accounting (IFRS 9 live production, R2R automation), and Audit Manager in Insurance at Mazars.</w:t>
      </w:r>
    </w:p>
    <w:p w14:paraId="0577C2F5" w14:textId="77777777" w:rsidR="00E3566E" w:rsidRPr="00E3566E" w:rsidRDefault="00000000" w:rsidP="00E3566E">
      <w:pPr>
        <w:pStyle w:val="Paragraphedeliste"/>
        <w:numPr>
          <w:ilvl w:val="0"/>
          <w:numId w:val="10"/>
        </w:numPr>
        <w:spacing w:before="80" w:after="80"/>
        <w:ind w:right="120"/>
      </w:pPr>
      <w:r w:rsidRPr="00E3566E">
        <w:rPr>
          <w:color w:val="262626"/>
        </w:rPr>
        <w:t xml:space="preserve">Particularly sought for </w:t>
      </w:r>
      <w:r w:rsidRPr="00E3566E">
        <w:rPr>
          <w:b/>
          <w:bCs/>
          <w:color w:val="262626"/>
        </w:rPr>
        <w:t>complex regulatory implementations</w:t>
      </w:r>
      <w:r w:rsidRPr="00E3566E">
        <w:rPr>
          <w:color w:val="262626"/>
        </w:rPr>
        <w:t xml:space="preserve"> where the Finance/Actuarial/IT interface is the critical challenge. </w:t>
      </w:r>
    </w:p>
    <w:p w14:paraId="6C31C8D1" w14:textId="1D18283D" w:rsidR="009C000A" w:rsidRDefault="00000000" w:rsidP="00E3566E">
      <w:pPr>
        <w:pStyle w:val="Paragraphedeliste"/>
        <w:numPr>
          <w:ilvl w:val="0"/>
          <w:numId w:val="10"/>
        </w:numPr>
        <w:spacing w:before="80" w:after="80"/>
        <w:ind w:right="120"/>
      </w:pPr>
      <w:r w:rsidRPr="00E3566E">
        <w:rPr>
          <w:color w:val="262626"/>
        </w:rPr>
        <w:t>Fully bilingual EN/FR. Open to remote assignments</w:t>
      </w:r>
      <w:r w:rsidR="00E3566E">
        <w:rPr>
          <w:color w:val="262626"/>
        </w:rPr>
        <w:t xml:space="preserve"> worldwide, hybrid</w:t>
      </w:r>
      <w:r w:rsidRPr="00E3566E">
        <w:rPr>
          <w:color w:val="262626"/>
        </w:rPr>
        <w:t xml:space="preserve"> in EMEA (UK, continental Europe</w:t>
      </w:r>
      <w:r w:rsidR="00E3566E">
        <w:rPr>
          <w:color w:val="262626"/>
        </w:rPr>
        <w:t>)</w:t>
      </w:r>
      <w:r w:rsidRPr="00E3566E">
        <w:rPr>
          <w:color w:val="262626"/>
        </w:rPr>
        <w:t>.</w:t>
      </w:r>
    </w:p>
    <w:p w14:paraId="4CF1F901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CORE KEYWORDS</w:t>
      </w:r>
    </w:p>
    <w:p w14:paraId="79EA7799" w14:textId="77777777" w:rsidR="009C000A" w:rsidRDefault="00000000">
      <w:pPr>
        <w:spacing w:before="60" w:after="60"/>
        <w:ind w:left="120" w:right="120"/>
      </w:pPr>
      <w:r>
        <w:rPr>
          <w:color w:val="262626"/>
          <w:sz w:val="18"/>
        </w:rPr>
        <w:t>IFRS 17  |  IFRS 9  |  Solvency II  |  PAA (Premium Allocation Approach)  |  GMM  |  ECL Model  |  Insurance Finance Transformation  |  Technical Accounting  |  Reserving  |  QRT Reporting  |  ORSA / RSR / SFCR  |  Target Operating Model  |  Dry-run Close  |  Impact Assessment  |  Record to Report (R2R)  |  Process Automation  |  Data Migration  |  UAT  |  Finance / Actuarial / IT Interface  |  Actuarial Data Analytics  |  Risk &amp; Actuarial Consulting  |  PMO  |  SAP S/4HANA  |  SAP BFC  |  SAS  |  Investment Accounting  |  Closing Optimisation  |  Solvency II Look-through  |  Power BI</w:t>
      </w:r>
    </w:p>
    <w:p w14:paraId="32FB196D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KEY REGULATORY ASSIGNMENTS — IFRS 9 / IFRS 17 / SOLVENCY II</w:t>
      </w:r>
    </w:p>
    <w:p w14:paraId="660B3334" w14:textId="77777777" w:rsidR="009C000A" w:rsidRDefault="00000000">
      <w:pPr>
        <w:spacing w:before="40" w:after="40"/>
        <w:ind w:left="180"/>
      </w:pPr>
      <w:r>
        <w:rPr>
          <w:b/>
          <w:color w:val="1F3864"/>
        </w:rPr>
        <w:t>AXA XL (P&amp;C Finance)</w:t>
      </w:r>
      <w:r>
        <w:rPr>
          <w:color w:val="262626"/>
        </w:rPr>
        <w:t xml:space="preserve">  —  IFRS 9 + IFRS 17 + Solvency II Finance Stream Leader — PAA eligibility assessment across all LoB, SAS-based dry-run close, ~€25m equity impact quantified, QRT / ORSA / RSR / SFCR delivery (2018–2019)</w:t>
      </w:r>
    </w:p>
    <w:p w14:paraId="56B82C1A" w14:textId="77777777" w:rsidR="009C000A" w:rsidRDefault="00000000">
      <w:pPr>
        <w:spacing w:before="40" w:after="40"/>
        <w:ind w:left="180"/>
      </w:pPr>
      <w:r>
        <w:rPr>
          <w:b/>
          <w:color w:val="1F3864"/>
        </w:rPr>
        <w:t>Coface Group Finance</w:t>
      </w:r>
      <w:r>
        <w:rPr>
          <w:color w:val="262626"/>
        </w:rPr>
        <w:t xml:space="preserve">  —  IFRS 9 Project Manager — ECL model design (SAS, Finance as sole owner, external risk matrices methodology), data migration, accounting transition, UAT management (3 years, 2020–2022)</w:t>
      </w:r>
    </w:p>
    <w:p w14:paraId="7280D5F5" w14:textId="77777777" w:rsidR="009C000A" w:rsidRDefault="00000000">
      <w:pPr>
        <w:spacing w:before="40" w:after="40"/>
        <w:ind w:left="180"/>
      </w:pPr>
      <w:r>
        <w:rPr>
          <w:b/>
          <w:color w:val="1F3864"/>
        </w:rPr>
        <w:t>Coface Group Finance</w:t>
      </w:r>
      <w:r>
        <w:rPr>
          <w:color w:val="262626"/>
        </w:rPr>
        <w:t xml:space="preserve">  —  Group Head of Investment Accounting — IFRS 9 live production, R2R automation, D+5→D+3 closing via SAP S/4HANA, Power BI investment dashboard (2023–2024)</w:t>
      </w:r>
    </w:p>
    <w:p w14:paraId="539D0327" w14:textId="77777777" w:rsidR="009C000A" w:rsidRDefault="00000000">
      <w:pPr>
        <w:spacing w:before="40" w:after="40"/>
        <w:ind w:left="180"/>
      </w:pPr>
      <w:r>
        <w:rPr>
          <w:b/>
          <w:color w:val="1F3864"/>
        </w:rPr>
        <w:t>Coface (first assignment)</w:t>
      </w:r>
      <w:r>
        <w:rPr>
          <w:color w:val="262626"/>
        </w:rPr>
        <w:t xml:space="preserve">  —  Head of Technical Accounting &amp; Reserving — Bornhuetter-Ferguson stochastic reserving, SAS investment data platform design, IFRS technical accounting (2004–2005 + 2017–2018)</w:t>
      </w:r>
    </w:p>
    <w:p w14:paraId="498EBF44" w14:textId="77777777" w:rsidR="009C000A" w:rsidRDefault="00000000">
      <w:pPr>
        <w:spacing w:before="40" w:after="40"/>
        <w:ind w:left="180"/>
      </w:pPr>
      <w:r>
        <w:rPr>
          <w:b/>
          <w:color w:val="1F3864"/>
        </w:rPr>
        <w:t>Mazars</w:t>
      </w:r>
      <w:r>
        <w:rPr>
          <w:color w:val="262626"/>
        </w:rPr>
        <w:t xml:space="preserve">  —  Audit Manager Insurance &amp; Reinsurance — statutory audit, internal controls, reserving reviews (5 years, 1999–2004)</w:t>
      </w:r>
    </w:p>
    <w:p w14:paraId="044C7437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PROFESSIONAL EXPERIENCE</w:t>
      </w:r>
    </w:p>
    <w:p w14:paraId="041313A9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AXA XL  —  P&amp;C Finance Department</w:t>
      </w:r>
      <w:r>
        <w:rPr>
          <w:color w:val="595959"/>
        </w:rPr>
        <w:t xml:space="preserve">  ·  May 2018 – Jul 2019  (15 months)</w:t>
      </w:r>
    </w:p>
    <w:p w14:paraId="6AE5FE47" w14:textId="77777777" w:rsidR="009C000A" w:rsidRDefault="00000000">
      <w:pPr>
        <w:spacing w:after="60"/>
      </w:pPr>
      <w:r>
        <w:rPr>
          <w:b/>
          <w:i/>
          <w:color w:val="2E75B6"/>
        </w:rPr>
        <w:t>Finance Stream Leader — IFRS 9 / IFRS 17 / Solvency II</w:t>
      </w:r>
    </w:p>
    <w:p w14:paraId="1458D95D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Led the end-to-end Finance impact assessment and implementation workstreams for a combined IFRS 9, IFRS 17 and Solvency II transformation within an AXA P&amp;C entity.</w:t>
      </w:r>
    </w:p>
    <w:p w14:paraId="2F978A18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IFRS 17: confirmed </w:t>
      </w:r>
      <w:r>
        <w:rPr>
          <w:b/>
          <w:color w:val="262626"/>
        </w:rPr>
        <w:t>PAA (Premium Allocation Approach)</w:t>
      </w:r>
      <w:r>
        <w:rPr>
          <w:color w:val="262626"/>
        </w:rPr>
        <w:t xml:space="preserve"> eligibility across all contract families (coverage ≤ 1 year). Delivered IFRS 17 dry-run close at 31 Dec 2017 using a </w:t>
      </w:r>
      <w:r>
        <w:rPr>
          <w:b/>
          <w:color w:val="262626"/>
        </w:rPr>
        <w:t>SAS-based internal model</w:t>
      </w:r>
      <w:r>
        <w:rPr>
          <w:color w:val="262626"/>
        </w:rPr>
        <w:t xml:space="preserve"> (derived from AXA Group model): quantified </w:t>
      </w:r>
      <w:r>
        <w:rPr>
          <w:b/>
          <w:color w:val="262626"/>
        </w:rPr>
        <w:t>~€25m equity transition adjustment</w:t>
      </w:r>
      <w:r>
        <w:rPr>
          <w:color w:val="262626"/>
        </w:rPr>
        <w:t xml:space="preserve"> and </w:t>
      </w:r>
      <w:r>
        <w:rPr>
          <w:b/>
          <w:color w:val="262626"/>
        </w:rPr>
        <w:t>~1.5ppt combined ratio variance</w:t>
      </w:r>
      <w:r>
        <w:rPr>
          <w:color w:val="262626"/>
        </w:rPr>
        <w:t xml:space="preserve"> across </w:t>
      </w:r>
      <w:r>
        <w:rPr>
          <w:b/>
          <w:color w:val="262626"/>
        </w:rPr>
        <w:t>8 lines of business</w:t>
      </w:r>
      <w:r>
        <w:rPr>
          <w:color w:val="262626"/>
        </w:rPr>
        <w:t>.</w:t>
      </w:r>
    </w:p>
    <w:p w14:paraId="6399953B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lastRenderedPageBreak/>
        <w:t xml:space="preserve">IFRS 9: led classification &amp; measurement assessment (investment portfolio), impairment approach design, transition accounting entries and </w:t>
      </w:r>
      <w:r>
        <w:rPr>
          <w:b/>
          <w:color w:val="262626"/>
        </w:rPr>
        <w:t>ECL staging</w:t>
      </w:r>
      <w:r>
        <w:rPr>
          <w:color w:val="262626"/>
        </w:rPr>
        <w:t xml:space="preserve"> methodology. Coordinated with Risk and Actuarial on provisioning model inputs.</w:t>
      </w:r>
    </w:p>
    <w:p w14:paraId="15FEE276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Defined Target Operating Model: organisation, processes, accounting tools and reporting architecture under the new standards.</w:t>
      </w:r>
    </w:p>
    <w:p w14:paraId="6E427D2A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Supervised Solvency II QRT reporting (</w:t>
      </w:r>
      <w:r>
        <w:rPr>
          <w:b/>
          <w:color w:val="262626"/>
        </w:rPr>
        <w:t>Invoke RAPP</w:t>
      </w:r>
      <w:r>
        <w:rPr>
          <w:color w:val="262626"/>
        </w:rPr>
        <w:t>); contributed to ORSA, RSR and SFCR deliverables.</w:t>
      </w:r>
    </w:p>
    <w:p w14:paraId="07C8AC39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Co-led steering committees; coordinated Finance, Actuarial, Risk, Reinsurance, IT and external audit stakeholders.</w:t>
      </w:r>
    </w:p>
    <w:p w14:paraId="3883B2D7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Organised quarterly and annual closing cycles: planning, task allocation, daily reporting to senior management.</w:t>
      </w:r>
    </w:p>
    <w:p w14:paraId="2F70BB6C" w14:textId="77777777" w:rsidR="009C000A" w:rsidRDefault="009C000A">
      <w:pPr>
        <w:pBdr>
          <w:bottom w:val="single" w:sz="4" w:space="1" w:color="D6E4F0"/>
        </w:pBdr>
        <w:spacing w:after="0" w:line="240" w:lineRule="auto"/>
      </w:pPr>
    </w:p>
    <w:p w14:paraId="12D2E57F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Coface Group  —  Group Finance</w:t>
      </w:r>
      <w:r>
        <w:rPr>
          <w:color w:val="595959"/>
        </w:rPr>
        <w:t xml:space="preserve">  ·  May 2017 – May 2018  +  Jan 2020 – Oct 2024  (5 years)</w:t>
      </w:r>
    </w:p>
    <w:p w14:paraId="3FBAE2A6" w14:textId="77777777" w:rsidR="009C000A" w:rsidRDefault="00000000">
      <w:pPr>
        <w:spacing w:after="60"/>
      </w:pPr>
      <w:r>
        <w:rPr>
          <w:b/>
          <w:i/>
          <w:color w:val="2E75B6"/>
        </w:rPr>
        <w:t>IFRS 9 Project Manager  /  Group Head of Investment Accounting</w:t>
      </w:r>
    </w:p>
    <w:p w14:paraId="7F95C5E7" w14:textId="77777777" w:rsidR="009C000A" w:rsidRDefault="00000000">
      <w:pPr>
        <w:spacing w:before="80" w:after="20"/>
        <w:ind w:left="180"/>
      </w:pPr>
      <w:r>
        <w:rPr>
          <w:b/>
          <w:color w:val="2E75B6"/>
        </w:rPr>
        <w:t>IFRS 9 Project Manager  (Jan 2020 – Dec 2022)</w:t>
      </w:r>
    </w:p>
    <w:p w14:paraId="2FD639B0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Led Finance workstreams for Coface's IFRS 9 implementation — investment accounting, ECL provisioning model, data migration and close process redesign.</w:t>
      </w:r>
    </w:p>
    <w:p w14:paraId="486FD7B3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the </w:t>
      </w:r>
      <w:r>
        <w:rPr>
          <w:b/>
          <w:color w:val="262626"/>
        </w:rPr>
        <w:t>ECL (Expected Credit Loss) model</w:t>
      </w:r>
      <w:r>
        <w:rPr>
          <w:color w:val="262626"/>
        </w:rPr>
        <w:t xml:space="preserve"> end-to-end: methodology built on external risk matrices, implemented in </w:t>
      </w:r>
      <w:r>
        <w:rPr>
          <w:b/>
          <w:color w:val="262626"/>
        </w:rPr>
        <w:t>SAS</w:t>
      </w:r>
      <w:r>
        <w:rPr>
          <w:color w:val="262626"/>
        </w:rPr>
        <w:t>, with Finance as sole owner — an unusual setup that ensured full control over model governance. Established monthly variance analysis framework in post-production; oversaw UAT and proof-of-concept phases.</w:t>
      </w:r>
    </w:p>
    <w:p w14:paraId="05B2C1CD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Validated transition accounting schemes (IFRS 9 Day-1 entries); redesigned close calendar under IFRS 9; developed automated control tools for ongoing monitoring.</w:t>
      </w:r>
    </w:p>
    <w:p w14:paraId="35C18BCC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Coordinated Finance, Risk, IT and external auditors across all project phases; managed regulatory reporting timeline under first-year live production.</w:t>
      </w:r>
    </w:p>
    <w:p w14:paraId="5D1CDF09" w14:textId="77777777" w:rsidR="009C000A" w:rsidRDefault="00000000">
      <w:pPr>
        <w:spacing w:before="80" w:after="20"/>
        <w:ind w:left="180"/>
      </w:pPr>
      <w:r>
        <w:rPr>
          <w:b/>
          <w:color w:val="2E75B6"/>
        </w:rPr>
        <w:t>Group Head of Investment Accounting  (Jan 2023 – Oct 2024)</w:t>
      </w:r>
    </w:p>
    <w:p w14:paraId="37A53283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Steered IFRS 9 first-year live production; redesigned reporting interfaces; reduced closing timeline from </w:t>
      </w:r>
      <w:r>
        <w:rPr>
          <w:b/>
          <w:color w:val="262626"/>
        </w:rPr>
        <w:t>D+5 to D+3</w:t>
      </w:r>
      <w:r>
        <w:rPr>
          <w:color w:val="262626"/>
        </w:rPr>
        <w:t xml:space="preserve"> through </w:t>
      </w:r>
      <w:r>
        <w:rPr>
          <w:b/>
          <w:color w:val="262626"/>
        </w:rPr>
        <w:t>SAP S/4HANA</w:t>
      </w:r>
      <w:r>
        <w:rPr>
          <w:color w:val="262626"/>
        </w:rPr>
        <w:t xml:space="preserve"> interface automation and SAP→SAP BFC reporting chain redesign.</w:t>
      </w:r>
    </w:p>
    <w:p w14:paraId="578FA80D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Industrialised R2R process: </w:t>
      </w:r>
      <w:r>
        <w:rPr>
          <w:b/>
          <w:color w:val="262626"/>
        </w:rPr>
        <w:t>Power Query</w:t>
      </w:r>
      <w:r>
        <w:rPr>
          <w:color w:val="262626"/>
        </w:rPr>
        <w:t xml:space="preserve"> workflows for CACEIS monthly data (accounting/management rec, SAP/CACEIS rec, FX analysis, price controls); </w:t>
      </w:r>
      <w:r>
        <w:rPr>
          <w:b/>
          <w:color w:val="262626"/>
        </w:rPr>
        <w:t>VBA macros</w:t>
      </w:r>
      <w:r>
        <w:rPr>
          <w:color w:val="262626"/>
        </w:rPr>
        <w:t xml:space="preserve"> for custodian-to-SAP format conversion; </w:t>
      </w:r>
      <w:r>
        <w:rPr>
          <w:b/>
          <w:color w:val="262626"/>
        </w:rPr>
        <w:t>SAP FC Publisher</w:t>
      </w:r>
      <w:r>
        <w:rPr>
          <w:color w:val="262626"/>
        </w:rPr>
        <w:t xml:space="preserve"> automation for BFC consolidation queries across ~20 international entities.</w:t>
      </w:r>
    </w:p>
    <w:p w14:paraId="3D2EDA1B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Delivered consolidated </w:t>
      </w:r>
      <w:r>
        <w:rPr>
          <w:b/>
          <w:color w:val="262626"/>
        </w:rPr>
        <w:t>Power BI</w:t>
      </w:r>
      <w:r>
        <w:rPr>
          <w:color w:val="262626"/>
        </w:rPr>
        <w:t xml:space="preserve"> investment dashboard for CXO-level reporting, replacing manual processes.</w:t>
      </w:r>
    </w:p>
    <w:p w14:paraId="4972206A" w14:textId="77777777" w:rsidR="009C000A" w:rsidRDefault="00000000">
      <w:pPr>
        <w:spacing w:before="80" w:after="20"/>
        <w:ind w:left="180"/>
      </w:pPr>
      <w:r>
        <w:rPr>
          <w:b/>
          <w:color w:val="2E75B6"/>
        </w:rPr>
        <w:t>First assignment  (May 2017 – May 2018)</w:t>
      </w:r>
    </w:p>
    <w:p w14:paraId="3A525DD9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Head of Technical Accounting — investment accounting production, regulatory reporting, operating model redesign.</w:t>
      </w:r>
    </w:p>
    <w:p w14:paraId="04E7116C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 shared </w:t>
      </w:r>
      <w:r>
        <w:rPr>
          <w:b/>
          <w:color w:val="262626"/>
        </w:rPr>
        <w:t>investment data platform in SAS</w:t>
      </w:r>
      <w:r>
        <w:rPr>
          <w:color w:val="262626"/>
        </w:rPr>
        <w:t>, covering data sourcing, data model architecture, quality controls and management reporting; the platform served as the backbone for all subsequent analytics work, including the IFRS 9 ECL model deployed in 2020.</w:t>
      </w:r>
    </w:p>
    <w:p w14:paraId="2F940991" w14:textId="77777777" w:rsidR="009C000A" w:rsidRDefault="009C000A">
      <w:pPr>
        <w:pBdr>
          <w:bottom w:val="single" w:sz="4" w:space="1" w:color="D6E4F0"/>
        </w:pBdr>
        <w:spacing w:after="0" w:line="240" w:lineRule="auto"/>
      </w:pPr>
    </w:p>
    <w:p w14:paraId="5D3FD564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Coface  —  Group Finance  (first tenure)</w:t>
      </w:r>
      <w:r>
        <w:rPr>
          <w:color w:val="595959"/>
        </w:rPr>
        <w:t xml:space="preserve">  ·  May 2004 – Oct 2005  (18 months)</w:t>
      </w:r>
    </w:p>
    <w:p w14:paraId="74EA55BC" w14:textId="77777777" w:rsidR="009C000A" w:rsidRDefault="00000000">
      <w:pPr>
        <w:spacing w:after="60"/>
      </w:pPr>
      <w:r>
        <w:rPr>
          <w:b/>
          <w:i/>
          <w:color w:val="2E75B6"/>
        </w:rPr>
        <w:t>Head of Technical Accounting and Reserving</w:t>
      </w:r>
    </w:p>
    <w:p w14:paraId="5CE80987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Led technical accounting (insurance-specific) and provisioning across a multi-entity insurance group.</w:t>
      </w:r>
    </w:p>
    <w:p w14:paraId="4CC26007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>Bornhuetter-Ferguson stochastic reserving methodology</w:t>
      </w:r>
      <w:r>
        <w:rPr>
          <w:color w:val="262626"/>
        </w:rPr>
        <w:t xml:space="preserve"> — replacing manual estimation with a structured quantitative model.</w:t>
      </w:r>
    </w:p>
    <w:p w14:paraId="57EABA2B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Coordinated accounting, actuarial and operational stakeholders; accelerated close process. Intercompany reconciliations and Group Finance coordination.</w:t>
      </w:r>
    </w:p>
    <w:p w14:paraId="62F4E45A" w14:textId="77777777" w:rsidR="009C000A" w:rsidRDefault="009C000A">
      <w:pPr>
        <w:pBdr>
          <w:bottom w:val="single" w:sz="4" w:space="1" w:color="D6E4F0"/>
        </w:pBdr>
        <w:spacing w:after="0" w:line="240" w:lineRule="auto"/>
      </w:pPr>
    </w:p>
    <w:p w14:paraId="67E93DA4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Clearwater Analytics</w:t>
      </w:r>
      <w:r>
        <w:rPr>
          <w:color w:val="595959"/>
        </w:rPr>
        <w:t xml:space="preserve">  ·  Nov 2024 – Apr 2026  (18 months)</w:t>
      </w:r>
    </w:p>
    <w:p w14:paraId="79EE9A76" w14:textId="77777777" w:rsidR="009C000A" w:rsidRDefault="00000000">
      <w:pPr>
        <w:spacing w:after="60"/>
      </w:pPr>
      <w:r>
        <w:rPr>
          <w:b/>
          <w:i/>
          <w:color w:val="2E75B6"/>
        </w:rPr>
        <w:t>Senior Programme Manager — Investment Platform &amp; Solvency II Reporting</w:t>
      </w:r>
    </w:p>
    <w:p w14:paraId="51A8918F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Led end-to-end delivery of a cloud-native investment platform (</w:t>
      </w:r>
      <w:r>
        <w:rPr>
          <w:b/>
          <w:color w:val="262626"/>
        </w:rPr>
        <w:t>Clearwater Analytics SaaS</w:t>
      </w:r>
      <w:r>
        <w:rPr>
          <w:color w:val="262626"/>
        </w:rPr>
        <w:t>, €11bn AUM) for a French reinsurer, including Solvency II reporting module, French GAAP accounting design and SAP GL integration.</w:t>
      </w:r>
    </w:p>
    <w:p w14:paraId="4AE4FBFB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lastRenderedPageBreak/>
        <w:t xml:space="preserve">Delivered full </w:t>
      </w:r>
      <w:r>
        <w:rPr>
          <w:b/>
          <w:color w:val="262626"/>
        </w:rPr>
        <w:t>STP (Straight-Through Processing)</w:t>
      </w:r>
      <w:r>
        <w:rPr>
          <w:color w:val="262626"/>
        </w:rPr>
        <w:t xml:space="preserve"> from order management through accounting production to Solvency II QRT reporting — closing cycle reduced from D+4 to D+2.</w:t>
      </w:r>
    </w:p>
    <w:p w14:paraId="4DA3AEA4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Deployed </w:t>
      </w:r>
      <w:r>
        <w:rPr>
          <w:b/>
          <w:color w:val="262626"/>
        </w:rPr>
        <w:t>AI-powered control framework</w:t>
      </w:r>
      <w:r>
        <w:rPr>
          <w:color w:val="262626"/>
        </w:rPr>
        <w:t xml:space="preserve"> (price-variation monitoring, AI-assisted tripartite reconciliation FO/BO/custodian, automated closed-end fund processing) — eliminating manual control workflows.</w:t>
      </w:r>
    </w:p>
    <w:p w14:paraId="1B6F96FB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Supervised Solvency II reporting design and accounting workstreams throughout UAT and go-live phases.</w:t>
      </w:r>
    </w:p>
    <w:p w14:paraId="22FFE703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Managed C-suite governance (Sponsor Committees, bilingual SteerCo), RAID log (10+ critical risks), OMS/Jump go-live (Dec 2025) and Hypercare coordination.</w:t>
      </w:r>
    </w:p>
    <w:p w14:paraId="4E4E3109" w14:textId="77777777" w:rsidR="009C000A" w:rsidRDefault="009C000A">
      <w:pPr>
        <w:pBdr>
          <w:bottom w:val="single" w:sz="4" w:space="1" w:color="D6E4F0"/>
        </w:pBdr>
        <w:spacing w:after="0" w:line="240" w:lineRule="auto"/>
      </w:pPr>
    </w:p>
    <w:p w14:paraId="28BC0308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CNP Assurances</w:t>
      </w:r>
      <w:r>
        <w:rPr>
          <w:color w:val="595959"/>
        </w:rPr>
        <w:t xml:space="preserve">  ·  May 2013 – May 2018  (5 years)</w:t>
      </w:r>
    </w:p>
    <w:p w14:paraId="4FCD1ECD" w14:textId="77777777" w:rsidR="009C000A" w:rsidRDefault="00000000">
      <w:pPr>
        <w:spacing w:after="60"/>
      </w:pPr>
      <w:r>
        <w:rPr>
          <w:b/>
          <w:i/>
          <w:color w:val="2E75B6"/>
        </w:rPr>
        <w:t>Head of Financial Production &amp; Solvency II Unit  /  Lead Business Owner — SimCorp Dimension</w:t>
      </w:r>
    </w:p>
    <w:p w14:paraId="0B237099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Financial Production &amp; Solvency II Unit (May–Dec 2013): managed 5-person team responsible for Solvency II reporting, portfolio sensitivity and performance reporting; significantly enhanced the </w:t>
      </w:r>
      <w:r>
        <w:rPr>
          <w:b/>
          <w:color w:val="262626"/>
        </w:rPr>
        <w:t>P&amp;L Forecast model</w:t>
      </w:r>
      <w:r>
        <w:rPr>
          <w:color w:val="262626"/>
        </w:rPr>
        <w:t xml:space="preserve"> — introduced bond reinvestment assumptions, inflation modelling for index-linked bonds, equity return assumptions; extended perimeter to private equity, real estate and land assets. Initiated migration roadmap from legacy </w:t>
      </w:r>
      <w:r>
        <w:rPr>
          <w:b/>
          <w:color w:val="262626"/>
        </w:rPr>
        <w:t>Access</w:t>
      </w:r>
      <w:r>
        <w:rPr>
          <w:color w:val="262626"/>
        </w:rPr>
        <w:t xml:space="preserve"> tools toward </w:t>
      </w:r>
      <w:r>
        <w:rPr>
          <w:b/>
          <w:color w:val="262626"/>
        </w:rPr>
        <w:t>SAS</w:t>
      </w:r>
      <w:r>
        <w:rPr>
          <w:color w:val="262626"/>
        </w:rPr>
        <w:t xml:space="preserve"> (calculation engine) and </w:t>
      </w:r>
      <w:r>
        <w:rPr>
          <w:b/>
          <w:color w:val="262626"/>
        </w:rPr>
        <w:t>QlikView</w:t>
      </w:r>
      <w:r>
        <w:rPr>
          <w:color w:val="262626"/>
        </w:rPr>
        <w:t xml:space="preserve"> (management dashboards).</w:t>
      </w:r>
    </w:p>
    <w:p w14:paraId="69A3540D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Lead Business Owner for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implementation (Jan 2014 – May 2018, ~€350bn AUM): drove functional design, accounting entries, controls, Solvency II reporting architecture, UAT and go-live for investment accounting platform.</w:t>
      </w:r>
    </w:p>
    <w:p w14:paraId="39DC78F3" w14:textId="77777777" w:rsidR="009C000A" w:rsidRDefault="009C000A">
      <w:pPr>
        <w:pBdr>
          <w:bottom w:val="single" w:sz="4" w:space="1" w:color="D6E4F0"/>
        </w:pBdr>
        <w:spacing w:after="0" w:line="240" w:lineRule="auto"/>
      </w:pPr>
    </w:p>
    <w:p w14:paraId="5A18D047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Primexis  /  SCOR  /  Mazars</w:t>
      </w:r>
      <w:r>
        <w:rPr>
          <w:color w:val="595959"/>
        </w:rPr>
        <w:t xml:space="preserve">  ·  Sep 1999 – Apr 2013</w:t>
      </w:r>
    </w:p>
    <w:p w14:paraId="04FB1102" w14:textId="77777777" w:rsidR="009C000A" w:rsidRDefault="00000000">
      <w:pPr>
        <w:spacing w:after="60"/>
      </w:pPr>
      <w:r>
        <w:rPr>
          <w:b/>
          <w:i/>
          <w:color w:val="2E75B6"/>
        </w:rPr>
        <w:t>Earlier Career — Insurance Consulting, Audit and Transformation</w:t>
      </w:r>
    </w:p>
    <w:p w14:paraId="2EC82BB5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Mazars (1999–2004): Audit Manager — Insurance &amp; Reinsurance. </w:t>
      </w:r>
      <w:r>
        <w:rPr>
          <w:b/>
          <w:color w:val="262626"/>
        </w:rPr>
        <w:t>Statutory audit, internal controls, due diligence and reserving reviews.</w:t>
      </w:r>
      <w:r>
        <w:rPr>
          <w:color w:val="262626"/>
        </w:rPr>
        <w:t xml:space="preserve"> Deep exposure to insurance-specific accounting, technical provisions and investment function controls.</w:t>
      </w:r>
    </w:p>
    <w:p w14:paraId="50417826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SCOR (2005–2008): Head of Group Consolidation (IFRS + US GAAP quarterly/annual) and Head of Transformation Projects, Investment Dept — </w:t>
      </w:r>
      <w:r>
        <w:rPr>
          <w:b/>
          <w:color w:val="262626"/>
        </w:rPr>
        <w:t>led SimCorp Dimension selection and RFI/RFP</w:t>
      </w:r>
      <w:r>
        <w:rPr>
          <w:color w:val="262626"/>
        </w:rPr>
        <w:t>; project budget €3m/year.</w:t>
      </w:r>
    </w:p>
    <w:p w14:paraId="7AAB28E3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Primexis (2008–2013): Associate Director — built 20-consultant Insurance practice (€3m revenue, 10 clients). Concurrent SimCorp PM at SCOR Investment Partners (€20bn AUM): designed and implemented </w:t>
      </w:r>
      <w:r>
        <w:rPr>
          <w:b/>
          <w:color w:val="262626"/>
        </w:rPr>
        <w:t>Solvency II look-through automation</w:t>
      </w:r>
      <w:r>
        <w:rPr>
          <w:color w:val="262626"/>
        </w:rPr>
        <w:t xml:space="preserve"> for UCITS funds — automated underlying asset consolidation, sensitivity calculations and transparisation across 3 dimensions (underlying assets, sensitivities, Solvency II).</w:t>
      </w:r>
    </w:p>
    <w:p w14:paraId="134C7990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EDUCATION &amp; QUALIFICATIONS</w:t>
      </w:r>
    </w:p>
    <w:p w14:paraId="77E04EC5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ESCP Business School</w:t>
      </w:r>
      <w:r>
        <w:rPr>
          <w:color w:val="262626"/>
        </w:rPr>
        <w:t xml:space="preserve">  —  Grande École — Master in Management  |  Major: Finance</w:t>
      </w:r>
      <w:r>
        <w:rPr>
          <w:color w:val="595959"/>
          <w:sz w:val="18"/>
        </w:rPr>
        <w:t xml:space="preserve">  |  1991–1995</w:t>
      </w:r>
    </w:p>
    <w:p w14:paraId="733AC403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Centre d'Études Actuarielles, Paris</w:t>
      </w:r>
      <w:r>
        <w:rPr>
          <w:color w:val="262626"/>
        </w:rPr>
        <w:t xml:space="preserve">  —  Master in Actuarial Science</w:t>
      </w:r>
      <w:r>
        <w:rPr>
          <w:color w:val="595959"/>
          <w:sz w:val="18"/>
        </w:rPr>
        <w:t xml:space="preserve">  |  2002–2004</w:t>
      </w:r>
    </w:p>
    <w:p w14:paraId="307EAF3C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ENOES — École de l'Expertise Comptable</w:t>
      </w:r>
      <w:r>
        <w:rPr>
          <w:color w:val="262626"/>
        </w:rPr>
        <w:t xml:space="preserve">  —  D.E.C.F. (French CPA-equivalent)</w:t>
      </w:r>
      <w:r>
        <w:rPr>
          <w:color w:val="595959"/>
          <w:sz w:val="18"/>
        </w:rPr>
        <w:t xml:space="preserve">  |  2001</w:t>
      </w:r>
    </w:p>
    <w:p w14:paraId="07156C4A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Université Paris Dauphine – PSL</w:t>
      </w:r>
      <w:r>
        <w:rPr>
          <w:color w:val="262626"/>
        </w:rPr>
        <w:t xml:space="preserve">  —  Master in Economics</w:t>
      </w:r>
      <w:r>
        <w:rPr>
          <w:color w:val="595959"/>
          <w:sz w:val="18"/>
        </w:rPr>
        <w:t xml:space="preserve">  |  1995–1996</w:t>
      </w:r>
    </w:p>
    <w:p w14:paraId="5BE7FE0A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Project Management Institute</w:t>
      </w:r>
      <w:r>
        <w:rPr>
          <w:color w:val="262626"/>
        </w:rPr>
        <w:t xml:space="preserve">  —  PMP® — Project Management Professional (active)</w:t>
      </w:r>
    </w:p>
    <w:p w14:paraId="6E09B772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Certifications</w:t>
      </w:r>
      <w:r>
        <w:rPr>
          <w:color w:val="262626"/>
        </w:rPr>
        <w:t xml:space="preserve">  —  Generative AI Primer  |  GenAI for Account Executives</w:t>
      </w:r>
    </w:p>
    <w:p w14:paraId="05CF8D40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LANGUAGES &amp; AVAILABILITY</w:t>
      </w:r>
    </w:p>
    <w:p w14:paraId="066A74E5" w14:textId="77777777" w:rsidR="009C000A" w:rsidRDefault="00000000">
      <w:pPr>
        <w:spacing w:before="80" w:after="80"/>
        <w:ind w:left="180"/>
      </w:pPr>
      <w:r>
        <w:rPr>
          <w:color w:val="262626"/>
        </w:rPr>
        <w:t>French: Native  |  English: Full professional proficiency (C1/C2)  |  Spanish &amp; Italian: elementary  |  German: limited working</w:t>
      </w:r>
    </w:p>
    <w:p w14:paraId="3D1321D9" w14:textId="77777777" w:rsidR="009C000A" w:rsidRDefault="00000000">
      <w:pPr>
        <w:spacing w:after="80"/>
        <w:ind w:left="180"/>
      </w:pPr>
      <w:r>
        <w:rPr>
          <w:color w:val="262626"/>
        </w:rPr>
        <w:t>Available: May 2026  |  Format: Remote preferred, hybrid considered  |  Geography: France, UK, Continental Europe, North America, APAC</w:t>
      </w:r>
    </w:p>
    <w:sectPr w:rsidR="009C000A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675BFE"/>
    <w:multiLevelType w:val="hybridMultilevel"/>
    <w:tmpl w:val="E7625896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645233785">
    <w:abstractNumId w:val="8"/>
  </w:num>
  <w:num w:numId="2" w16cid:durableId="1855145013">
    <w:abstractNumId w:val="6"/>
  </w:num>
  <w:num w:numId="3" w16cid:durableId="2056541472">
    <w:abstractNumId w:val="5"/>
  </w:num>
  <w:num w:numId="4" w16cid:durableId="2133473075">
    <w:abstractNumId w:val="4"/>
  </w:num>
  <w:num w:numId="5" w16cid:durableId="2002266668">
    <w:abstractNumId w:val="7"/>
  </w:num>
  <w:num w:numId="6" w16cid:durableId="2014528749">
    <w:abstractNumId w:val="3"/>
  </w:num>
  <w:num w:numId="7" w16cid:durableId="840196191">
    <w:abstractNumId w:val="2"/>
  </w:num>
  <w:num w:numId="8" w16cid:durableId="206986979">
    <w:abstractNumId w:val="1"/>
  </w:num>
  <w:num w:numId="9" w16cid:durableId="1247614702">
    <w:abstractNumId w:val="0"/>
  </w:num>
  <w:num w:numId="10" w16cid:durableId="2053767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000A"/>
    <w:rsid w:val="00AA1D8D"/>
    <w:rsid w:val="00B47730"/>
    <w:rsid w:val="00CB0664"/>
    <w:rsid w:val="00CF0009"/>
    <w:rsid w:val="00E356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8C0B9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1630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Robitaille</cp:lastModifiedBy>
  <cp:revision>2</cp:revision>
  <dcterms:created xsi:type="dcterms:W3CDTF">2013-12-23T23:15:00Z</dcterms:created>
  <dcterms:modified xsi:type="dcterms:W3CDTF">2026-05-11T14:22:00Z</dcterms:modified>
  <cp:category/>
</cp:coreProperties>
</file>