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before="120"/>
        <w:jc w:val="center"/>
      </w:pPr>
      <w:r>
        <w:drawing>
          <wp:inline distT="0" distB="0" distL="0" distR="0">
            <wp:extent cx="3333750" cy="8382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838200"/>
                    </a:xfrm>
                    <a:prstGeom prst="rect">
                      <a:avLst/>
                    </a:prstGeom>
                  </pic:spPr>
                </pic:pic>
              </a:graphicData>
            </a:graphic>
          </wp:inline>
        </w:drawing>
      </w:r>
    </w:p>
    <w:p>
      <w:pPr>
        <w:spacing w:after="400"/>
      </w:pPr>
    </w:p>
    <w:p>
      <w:pPr>
        <w:spacing w:after="200"/>
        <w:jc w:val="center"/>
      </w:pPr>
      <w:r>
        <w:rPr>
          <w:rFonts w:ascii="Arial" w:cs="Arial" w:eastAsia="Arial" w:hAnsi="Arial"/>
          <w:b/>
          <w:bCs/>
          <w:color w:val="1B3A5C"/>
          <w:sz w:val="56"/>
          <w:szCs w:val="56"/>
        </w:rPr>
        <w:t xml:space="preserve">DOCX Generation</w:t>
      </w:r>
    </w:p>
    <w:p>
      <w:pPr>
        <w:spacing w:after="120"/>
        <w:jc w:val="center"/>
      </w:pPr>
      <w:r>
        <w:rPr>
          <w:rFonts w:ascii="Arial" w:cs="Arial" w:eastAsia="Arial" w:hAnsi="Arial"/>
          <w:color w:val="2E75B6"/>
          <w:sz w:val="28"/>
          <w:szCs w:val="28"/>
        </w:rPr>
        <w:t xml:space="preserve">Capabilities Showcase &amp; Design System Guide</w:t>
      </w:r>
    </w:p>
    <w:p>
      <w:pPr>
        <w:pBdr>
          <w:bottom w:val="single" w:color="D5E8F0" w:sz="6" w:space="4"/>
        </w:pBdr>
        <w:spacing w:after="200" w:before="200"/>
      </w:pPr>
    </w:p>
    <w:p>
      <w:pPr>
        <w:spacing w:after="80"/>
        <w:jc w:val="center"/>
      </w:pPr>
      <w:r>
        <w:rPr>
          <w:rFonts w:ascii="Arial" w:cs="Arial" w:eastAsia="Arial" w:hAnsi="Arial"/>
          <w:color w:val="666666"/>
          <w:sz w:val="22"/>
          <w:szCs w:val="22"/>
        </w:rPr>
        <w:t xml:space="preserve">A comprehensive demonstration of every formatting capability</w:t>
      </w:r>
    </w:p>
    <w:p>
      <w:pPr>
        <w:spacing w:after="80"/>
        <w:jc w:val="center"/>
      </w:pPr>
      <w:r>
        <w:rPr>
          <w:rFonts w:ascii="Arial" w:cs="Arial" w:eastAsia="Arial" w:hAnsi="Arial"/>
          <w:color w:val="666666"/>
          <w:sz w:val="22"/>
          <w:szCs w:val="22"/>
        </w:rPr>
        <w:t xml:space="preserve">available through Claude’s docx-js code generation pipeline.</w:t>
      </w:r>
    </w:p>
    <w:p>
      <w:pPr>
        <w:spacing w:after="1200"/>
      </w:pPr>
    </w:p>
    <w:p>
      <w:pPr>
        <w:jc w:val="center"/>
      </w:pPr>
      <w:r>
        <w:rPr>
          <w:rFonts w:ascii="Arial" w:cs="Arial" w:eastAsia="Arial" w:hAnsi="Arial"/>
          <w:color w:val="666666"/>
          <w:sz w:val="20"/>
          <w:szCs w:val="20"/>
        </w:rPr>
        <w:t xml:space="preserve">Version 2.0  •  May 2026</w:t>
      </w:r>
    </w:p>
    <w:p>
      <w:pPr>
        <w:spacing w:after="80"/>
        <w:jc w:val="center"/>
      </w:pPr>
      <w:r>
        <w:rPr>
          <w:rFonts w:ascii="Arial" w:cs="Arial" w:eastAsia="Arial" w:hAnsi="Arial"/>
          <w:color w:val="666666"/>
          <w:sz w:val="18"/>
          <w:szCs w:val="18"/>
        </w:rPr>
        <w:t xml:space="preserve">Generated by Claude (Anthropic) • docx-js pipeline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Design System</w:t>
      </w:r>
    </w:p>
    <w:p>
      <w:pPr>
        <w:spacing w:after="120"/>
      </w:pPr>
      <w:r>
        <w:rPr>
          <w:rFonts w:ascii="Arial" w:cs="Arial" w:eastAsia="Arial" w:hAnsi="Arial"/>
          <w:color w:val="333333"/>
          <w:sz w:val="22"/>
          <w:szCs w:val="22"/>
        </w:rPr>
        <w:t xml:space="preserve">This section defines the foundational design tokens used throughout all generated documents. Every element – from headings to callout boxes – derives its visual identity from these tokens.</w:t>
      </w:r>
    </w:p>
    <w:p>
      <w:pPr>
        <w:spacing w:after="80"/>
      </w:pPr>
    </w:p>
    <w:p>
      <w:pPr>
        <w:pStyle w:val="Heading2"/>
      </w:pPr>
      <w:r>
        <w:t xml:space="preserve">Color Palette</w:t>
      </w:r>
    </w:p>
    <w:p>
      <w:pPr>
        <w:spacing w:after="120"/>
      </w:pPr>
      <w:r>
        <w:rPr>
          <w:rFonts w:ascii="Arial" w:cs="Arial" w:eastAsia="Arial" w:hAnsi="Arial"/>
          <w:color w:val="333333"/>
          <w:sz w:val="22"/>
          <w:szCs w:val="22"/>
        </w:rPr>
        <w:t xml:space="preserve">The palette is built around a professional blue primary with semantic colors for status indicators. All hex values are defined as constants and referenced by every component.</w:t>
      </w:r>
    </w:p>
    <w:p>
      <w:pPr>
        <w:spacing w:after="120" w:before="120"/>
        <w:jc w:val="center"/>
      </w:pPr>
      <w:r>
        <w:drawing>
          <wp:inline distT="0" distB="0" distL="0" distR="0">
            <wp:extent cx="5238750" cy="1905000"/>
            <wp:effectExtent t="0" r="0" b="0" l="0"/>
            <wp:docPr id="1" name="Color palette swatches" descr="Color palette swatches" title="Color palette sw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Design System Color Palette (10 tokens)</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Colors are defined as a COLOR constant object. Every component references these tokens – never hardcoded hex values. The palette image is generated via matplotlib and embedded as ImageRun with type: "png".</w:t>
      </w:r>
    </w:p>
    <w:p>
      <w:pPr>
        <w:spacing w:after="80"/>
      </w:pPr>
    </w:p>
    <w:p>
      <w:pPr>
        <w:pStyle w:val="Heading2"/>
      </w:pPr>
      <w:r>
        <w:t xml:space="preserve">Typography Scale</w:t>
      </w:r>
    </w:p>
    <w:p>
      <w:pPr>
        <w:spacing w:after="120"/>
      </w:pPr>
      <w:r>
        <w:rPr>
          <w:rFonts w:ascii="Arial" w:cs="Arial" w:eastAsia="Arial" w:hAnsi="Arial"/>
          <w:color w:val="333333"/>
          <w:sz w:val="22"/>
          <w:szCs w:val="22"/>
        </w:rPr>
        <w:t xml:space="preserve">Font hierarchy uses Arial as the universal base for cross-platform compatibility (Word, LibreOffice, Google Docs). Code blocks use Courier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2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Style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Heading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16pt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Section titles, major divisions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Heading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Bold</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Heading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Bold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Sub-subsections, feature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11pt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Regular</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Running text, descriptions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Italic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Figure captions, table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Courier New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Regular</w:t>
            </w:r>
          </w:p>
        </w:tc>
        <w:tc>
          <w:tcPr>
            <w:tcW w:type="dxa" w:w="3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Code samples, API references</w:t>
            </w:r>
          </w:p>
        </w:tc>
      </w:tr>
    </w:tbl>
    <w:p>
      <w:pPr>
        <w:spacing w:after="200"/>
        <w:jc w:val="center"/>
      </w:pPr>
      <w:r>
        <w:rPr>
          <w:rFonts w:ascii="Arial" w:cs="Arial" w:eastAsia="Arial" w:hAnsi="Arial"/>
          <w:i/>
          <w:iCs/>
          <w:color w:val="666666"/>
          <w:sz w:val="18"/>
          <w:szCs w:val="18"/>
        </w:rPr>
        <w:t xml:space="preserve">Table 1 – Typography Scale</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Styles are defined in the Document constructor under styles.paragraphStyles with exact built-in IDs ("Heading1", "Heading2") and outlineLevel for TOC support. Font defaults set in styles.default.document.run.</w:t>
      </w:r>
    </w:p>
    <w:p>
      <w:pPr>
        <w:pBdr>
          <w:left w:val="single" w:color="E8A838" w:sz="12" w:space="8"/>
        </w:pBdr>
        <w:shd w:fill="FFF8E1" w:val="clear"/>
        <w:spacing w:after="0" w:before="200"/>
      </w:pPr>
      <w:r>
        <w:drawing>
          <wp:inline distT="0" distB="0" distL="0" distR="0">
            <wp:extent cx="171450" cy="17145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E8A838"/>
          <w:sz w:val="20"/>
          <w:szCs w:val="20"/>
        </w:rPr>
        <w:t xml:space="preserve">  Antipattern</w:t>
      </w:r>
    </w:p>
    <w:p>
      <w:pPr>
        <w:pBdr>
          <w:left w:val="single" w:color="E8A838" w:sz="12" w:space="8"/>
        </w:pBdr>
        <w:shd w:fill="FFF8E1" w:val="clear"/>
        <w:spacing w:after="200"/>
      </w:pPr>
      <w:r>
        <w:rPr>
          <w:rFonts w:ascii="Arial" w:cs="Arial" w:eastAsia="Arial" w:hAnsi="Arial"/>
          <w:color w:val="333333"/>
          <w:sz w:val="18"/>
          <w:szCs w:val="18"/>
        </w:rPr>
        <w:t xml:space="preserve">Never use custom style IDs for headings (e.g. "MyHeading1") – TOC generation requires the exact built-in IDs. Also never set outlineLevel without matching heading ID.</w:t>
      </w:r>
    </w:p>
    <w:p>
      <w:pPr>
        <w:spacing w:after="80"/>
      </w:pPr>
    </w:p>
    <w:p>
      <w:pPr>
        <w:pStyle w:val="Heading2"/>
      </w:pPr>
      <w:r>
        <w:t xml:space="preserve">Spacing &amp; Rhythm</w:t>
      </w:r>
    </w:p>
    <w:p>
      <w:pPr>
        <w:spacing w:after="120"/>
      </w:pPr>
      <w:r>
        <w:rPr>
          <w:rFonts w:ascii="Arial" w:cs="Arial" w:eastAsia="Arial" w:hAnsi="Arial"/>
          <w:color w:val="333333"/>
          <w:sz w:val="22"/>
          <w:szCs w:val="22"/>
        </w:rPr>
        <w:t xml:space="preserve">Consistent vertical rhythm is achieved through standardized spacing tokens:</w:t>
      </w:r>
    </w:p>
    <w:p>
      <w:pPr>
        <w:pStyle w:val="ListParagraph"/>
        <w:numPr>
          <w:ilvl w:val="0"/>
          <w:numId w:val="2"/>
        </w:numPr>
        <w:spacing w:after="60"/>
      </w:pPr>
      <w:r>
        <w:rPr>
          <w:rFonts w:ascii="Arial" w:cs="Arial" w:eastAsia="Arial" w:hAnsi="Arial"/>
          <w:color w:val="333333"/>
          <w:sz w:val="22"/>
          <w:szCs w:val="22"/>
        </w:rPr>
        <w:t xml:space="preserve">Heading 1: 240 DXA before + 240 after (approx. 12pt)</w:t>
      </w:r>
    </w:p>
    <w:p>
      <w:pPr>
        <w:pStyle w:val="ListParagraph"/>
        <w:numPr>
          <w:ilvl w:val="0"/>
          <w:numId w:val="2"/>
        </w:numPr>
        <w:spacing w:after="60"/>
      </w:pPr>
      <w:r>
        <w:rPr>
          <w:rFonts w:ascii="Arial" w:cs="Arial" w:eastAsia="Arial" w:hAnsi="Arial"/>
          <w:color w:val="333333"/>
          <w:sz w:val="22"/>
          <w:szCs w:val="22"/>
        </w:rPr>
        <w:t xml:space="preserve">Heading 2: 180 DXA before + 180 after (approx. 9pt)</w:t>
      </w:r>
    </w:p>
    <w:p>
      <w:pPr>
        <w:pStyle w:val="ListParagraph"/>
        <w:numPr>
          <w:ilvl w:val="0"/>
          <w:numId w:val="2"/>
        </w:numPr>
        <w:spacing w:after="60"/>
      </w:pPr>
      <w:r>
        <w:rPr>
          <w:rFonts w:ascii="Arial" w:cs="Arial" w:eastAsia="Arial" w:hAnsi="Arial"/>
          <w:color w:val="333333"/>
          <w:sz w:val="22"/>
          <w:szCs w:val="22"/>
        </w:rPr>
        <w:t xml:space="preserve">Body text: 120 DXA after (approx. 6pt)</w:t>
      </w:r>
    </w:p>
    <w:p>
      <w:pPr>
        <w:pStyle w:val="ListParagraph"/>
        <w:numPr>
          <w:ilvl w:val="0"/>
          <w:numId w:val="2"/>
        </w:numPr>
        <w:spacing w:after="60"/>
      </w:pPr>
      <w:r>
        <w:rPr>
          <w:rFonts w:ascii="Arial" w:cs="Arial" w:eastAsia="Arial" w:hAnsi="Arial"/>
          <w:color w:val="333333"/>
          <w:sz w:val="22"/>
          <w:szCs w:val="22"/>
        </w:rPr>
        <w:t xml:space="preserve">Callout boxes: 200 DXA before + 200 after</w:t>
      </w:r>
    </w:p>
    <w:p>
      <w:pPr>
        <w:pStyle w:val="ListParagraph"/>
        <w:numPr>
          <w:ilvl w:val="0"/>
          <w:numId w:val="2"/>
        </w:numPr>
        <w:spacing w:after="60"/>
      </w:pPr>
      <w:r>
        <w:rPr>
          <w:rFonts w:ascii="Arial" w:cs="Arial" w:eastAsia="Arial" w:hAnsi="Arial"/>
          <w:color w:val="333333"/>
          <w:sz w:val="22"/>
          <w:szCs w:val="22"/>
        </w:rPr>
        <w:t xml:space="preserve">Between sections: spacer(400) – ~20pt gap</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Spacing is set via paragraph.spacing: { before, after } in DXA units (1 pt = 20 DXA). The spacer() helper creates an empty paragraph with configurable spacing.</w:t>
      </w:r>
    </w:p>
    <w:p>
      <w:r>
        <w:br w:type="page"/>
      </w:r>
    </w:p>
    <w:p>
      <w:pPr>
        <w:pStyle w:val="Heading1"/>
      </w:pPr>
      <w:r>
        <w:t xml:space="preserve">Typography &amp; Character Formatting</w:t>
      </w:r>
    </w:p>
    <w:p>
      <w:pPr>
        <w:spacing w:after="120"/>
      </w:pPr>
      <w:r>
        <w:rPr>
          <w:rFonts w:ascii="Arial" w:cs="Arial" w:eastAsia="Arial" w:hAnsi="Arial"/>
          <w:color w:val="333333"/>
          <w:sz w:val="22"/>
          <w:szCs w:val="22"/>
        </w:rPr>
        <w:t xml:space="preserve">This section showcases all available character-level formatting options.</w:t>
      </w:r>
    </w:p>
    <w:p>
      <w:pPr>
        <w:spacing w:after="80"/>
      </w:pPr>
    </w:p>
    <w:p>
      <w:pPr>
        <w:pStyle w:val="Heading2"/>
      </w:pPr>
      <w:r>
        <w:t xml:space="preserve">Character Styles</w:t>
      </w:r>
    </w:p>
    <w:p>
      <w:pPr>
        <w:spacing w:after="120"/>
      </w:pPr>
      <w:r>
        <w:rPr>
          <w:rFonts w:ascii="Arial" w:cs="Arial" w:eastAsia="Arial" w:hAnsi="Arial"/>
          <w:b/>
          <w:bCs/>
          <w:color w:val="333333"/>
          <w:sz w:val="22"/>
          <w:szCs w:val="22"/>
        </w:rPr>
        <w:t xml:space="preserve">Bold text </w:t>
      </w:r>
      <w:r>
        <w:rPr>
          <w:rFonts w:ascii="Arial" w:cs="Arial" w:eastAsia="Arial" w:hAnsi="Arial"/>
          <w:i/>
          <w:iCs/>
          <w:color w:val="333333"/>
          <w:sz w:val="22"/>
          <w:szCs w:val="22"/>
        </w:rPr>
        <w:t xml:space="preserve">Italic text </w:t>
      </w:r>
      <w:r>
        <w:rPr>
          <w:rFonts w:ascii="Arial" w:cs="Arial" w:eastAsia="Arial" w:hAnsi="Arial"/>
          <w:b/>
          <w:bCs/>
          <w:i/>
          <w:iCs/>
          <w:color w:val="333333"/>
          <w:sz w:val="22"/>
          <w:szCs w:val="22"/>
        </w:rPr>
        <w:t xml:space="preserve">Bold + Italic </w:t>
      </w:r>
      <w:r>
        <w:rPr>
          <w:rFonts w:ascii="Arial" w:cs="Arial" w:eastAsia="Arial" w:hAnsi="Arial"/>
          <w:color w:val="333333"/>
          <w:sz w:val="22"/>
          <w:szCs w:val="22"/>
          <w:u w:val="single"/>
        </w:rPr>
        <w:t xml:space="preserve">Underlined </w:t>
      </w:r>
      <w:r>
        <w:rPr>
          <w:rFonts w:ascii="Arial" w:cs="Arial" w:eastAsia="Arial" w:hAnsi="Arial"/>
          <w:strike/>
          <w:color w:val="333333"/>
          <w:sz w:val="22"/>
          <w:szCs w:val="22"/>
        </w:rPr>
        <w:t xml:space="preserve">Strikethrough </w:t>
      </w:r>
    </w:p>
    <w:p>
      <w:pPr>
        <w:spacing w:after="120"/>
      </w:pPr>
      <w:r>
        <w:rPr>
          <w:rFonts w:ascii="Arial" w:cs="Arial" w:eastAsia="Arial" w:hAnsi="Arial"/>
          <w:color w:val="333333"/>
          <w:sz w:val="22"/>
          <w:szCs w:val="22"/>
          <w:highlight w:val="yellow"/>
          <w:highlightCs w:val="yellow"/>
        </w:rPr>
        <w:t xml:space="preserve">Highlighted text </w:t>
      </w:r>
      <w:r>
        <w:rPr>
          <w:rFonts w:ascii="Arial" w:cs="Arial" w:eastAsia="Arial" w:hAnsi="Arial"/>
          <w:color w:val="C0392B"/>
          <w:sz w:val="22"/>
          <w:szCs w:val="22"/>
        </w:rPr>
        <w:t xml:space="preserve">Red colored text </w:t>
      </w:r>
      <w:r>
        <w:rPr>
          <w:rFonts w:ascii="Arial" w:cs="Arial" w:eastAsia="Arial" w:hAnsi="Arial"/>
          <w:color w:val="2E75B6"/>
          <w:sz w:val="22"/>
          <w:szCs w:val="22"/>
        </w:rPr>
        <w:t xml:space="preserve">Blue accent text </w:t>
      </w:r>
      <w:r>
        <w:rPr>
          <w:rFonts w:ascii="Arial" w:cs="Arial" w:eastAsia="Arial" w:hAnsi="Arial"/>
          <w:caps/>
          <w:color w:val="333333"/>
          <w:sz w:val="22"/>
          <w:szCs w:val="22"/>
        </w:rPr>
        <w:t xml:space="preserve">ALL CAPS text </w:t>
      </w:r>
      <w:r>
        <w:rPr>
          <w:rFonts w:ascii="Arial" w:cs="Arial" w:eastAsia="Arial" w:hAnsi="Arial"/>
          <w:smallCaps/>
          <w:color w:val="333333"/>
          <w:sz w:val="22"/>
          <w:szCs w:val="22"/>
        </w:rPr>
        <w:t xml:space="preserve">Small caps text </w:t>
      </w:r>
    </w:p>
    <w:p>
      <w:pPr>
        <w:spacing w:after="120"/>
      </w:pPr>
      <w:r>
        <w:rPr>
          <w:rFonts w:ascii="Arial" w:cs="Arial" w:eastAsia="Arial" w:hAnsi="Arial"/>
          <w:color w:val="333333"/>
          <w:sz w:val="22"/>
          <w:szCs w:val="22"/>
        </w:rPr>
        <w:t xml:space="preserve">Normal then </w:t>
      </w:r>
      <w:r>
        <w:rPr>
          <w:rFonts w:ascii="Arial" w:cs="Arial" w:eastAsia="Arial" w:hAnsi="Arial"/>
          <w:color w:val="333333"/>
          <w:sz w:val="22"/>
          <w:szCs w:val="22"/>
          <w:vertAlign w:val="superscript"/>
        </w:rPr>
        <w:t xml:space="preserve">superscript</w:t>
      </w:r>
      <w:r>
        <w:rPr>
          <w:rFonts w:ascii="Arial" w:cs="Arial" w:eastAsia="Arial" w:hAnsi="Arial"/>
          <w:color w:val="333333"/>
          <w:sz w:val="22"/>
          <w:szCs w:val="22"/>
        </w:rPr>
        <w:t xml:space="preserve"> and </w:t>
      </w:r>
      <w:r>
        <w:rPr>
          <w:rFonts w:ascii="Arial" w:cs="Arial" w:eastAsia="Arial" w:hAnsi="Arial"/>
          <w:color w:val="333333"/>
          <w:sz w:val="22"/>
          <w:szCs w:val="22"/>
          <w:vertAlign w:val="subscript"/>
        </w:rPr>
        <w:t xml:space="preserve">subscript</w:t>
      </w:r>
      <w:r>
        <w:rPr>
          <w:rFonts w:ascii="Arial" w:cs="Arial" w:eastAsia="Arial" w:hAnsi="Arial"/>
          <w:color w:val="333333"/>
          <w:sz w:val="22"/>
          <w:szCs w:val="22"/>
        </w:rPr>
        <w:t xml:space="preserve"> – useful for formulas like H</w:t>
      </w:r>
      <w:r>
        <w:rPr>
          <w:rFonts w:ascii="Arial" w:cs="Arial" w:eastAsia="Arial" w:hAnsi="Arial"/>
          <w:color w:val="333333"/>
          <w:sz w:val="22"/>
          <w:szCs w:val="22"/>
          <w:vertAlign w:val="subscript"/>
        </w:rPr>
        <w:t xml:space="preserve">2</w:t>
      </w:r>
      <w:r>
        <w:rPr>
          <w:rFonts w:ascii="Arial" w:cs="Arial" w:eastAsia="Arial" w:hAnsi="Arial"/>
          <w:color w:val="333333"/>
          <w:sz w:val="22"/>
          <w:szCs w:val="22"/>
        </w:rPr>
        <w:t xml:space="preserve">O or E=mc</w:t>
      </w:r>
      <w:r>
        <w:rPr>
          <w:rFonts w:ascii="Arial" w:cs="Arial" w:eastAsia="Arial" w:hAnsi="Arial"/>
          <w:color w:val="333333"/>
          <w:sz w:val="22"/>
          <w:szCs w:val="22"/>
          <w:vertAlign w:val="superscript"/>
        </w:rPr>
        <w:t xml:space="preserve">2</w:t>
      </w:r>
    </w:p>
    <w:p>
      <w:pPr>
        <w:spacing w:after="80"/>
      </w:pP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Each formatting option is a property on TextRun: bold, italics, underline: {}, strike, highlight, color, allCaps, smallCaps, superScript, subScript. Multiple can be combined.</w:t>
      </w:r>
    </w:p>
    <w:p>
      <w:pPr>
        <w:spacing w:after="80"/>
      </w:pPr>
    </w:p>
    <w:p>
      <w:pPr>
        <w:pStyle w:val="Heading2"/>
      </w:pPr>
      <w:r>
        <w:t xml:space="preserve">Font Mixing</w:t>
      </w:r>
    </w:p>
    <w:p>
      <w:pPr>
        <w:spacing w:after="120"/>
      </w:pPr>
      <w:r>
        <w:rPr>
          <w:rFonts w:ascii="Arial" w:cs="Arial" w:eastAsia="Arial" w:hAnsi="Arial"/>
          <w:color w:val="333333"/>
          <w:sz w:val="22"/>
          <w:szCs w:val="22"/>
        </w:rPr>
        <w:t xml:space="preserve">Arial (default) → </w:t>
      </w:r>
      <w:r>
        <w:rPr>
          <w:rFonts w:ascii="Times New Roman" w:cs="Times New Roman" w:eastAsia="Times New Roman" w:hAnsi="Times New Roman"/>
          <w:color w:val="333333"/>
          <w:sz w:val="22"/>
          <w:szCs w:val="22"/>
        </w:rPr>
        <w:t xml:space="preserve">Times New Roman → </w:t>
      </w:r>
      <w:r>
        <w:rPr>
          <w:rFonts w:ascii="Georgia" w:cs="Georgia" w:eastAsia="Georgia" w:hAnsi="Georgia"/>
          <w:color w:val="333333"/>
          <w:sz w:val="22"/>
          <w:szCs w:val="22"/>
        </w:rPr>
        <w:t xml:space="preserve">Georgia → </w:t>
      </w:r>
      <w:r>
        <w:rPr>
          <w:rFonts w:ascii="Courier New" w:cs="Courier New" w:eastAsia="Courier New" w:hAnsi="Courier New"/>
          <w:color w:val="333333"/>
          <w:sz w:val="22"/>
          <w:szCs w:val="22"/>
        </w:rPr>
        <w:t xml:space="preserve">Courier New (mono)</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Each TextRun can specify its own font property. For cross-platform safety, stick to web-safe fonts: Arial, Times New Roman, Georgia, Courier New, Verdana.</w:t>
      </w:r>
    </w:p>
    <w:p>
      <w:pPr>
        <w:spacing w:after="80"/>
      </w:pPr>
    </w:p>
    <w:p>
      <w:pPr>
        <w:pStyle w:val="Heading2"/>
      </w:pPr>
      <w:r>
        <w:t xml:space="preserve">Paragraph Alignment &amp; Indentation</w:t>
      </w:r>
    </w:p>
    <w:p>
      <w:pPr>
        <w:spacing w:after="80"/>
        <w:jc w:val="left"/>
      </w:pPr>
      <w:r>
        <w:rPr>
          <w:rFonts w:ascii="Arial" w:cs="Arial" w:eastAsia="Arial" w:hAnsi="Arial"/>
          <w:color w:val="333333"/>
          <w:sz w:val="22"/>
          <w:szCs w:val="22"/>
        </w:rPr>
        <w:t xml:space="preserve">◀ Left-aligned (default) – standard body text alignment</w:t>
      </w:r>
    </w:p>
    <w:p>
      <w:pPr>
        <w:spacing w:after="80"/>
        <w:jc w:val="center"/>
      </w:pPr>
      <w:r>
        <w:rPr>
          <w:rFonts w:ascii="Arial" w:cs="Arial" w:eastAsia="Arial" w:hAnsi="Arial"/>
          <w:color w:val="333333"/>
          <w:sz w:val="22"/>
          <w:szCs w:val="22"/>
        </w:rPr>
        <w:t xml:space="preserve">◆ Center-aligned – for titles, captions, images</w:t>
      </w:r>
    </w:p>
    <w:p>
      <w:pPr>
        <w:spacing w:after="80"/>
        <w:jc w:val="right"/>
      </w:pPr>
      <w:r>
        <w:rPr>
          <w:rFonts w:ascii="Arial" w:cs="Arial" w:eastAsia="Arial" w:hAnsi="Arial"/>
          <w:color w:val="333333"/>
          <w:sz w:val="22"/>
          <w:szCs w:val="22"/>
        </w:rPr>
        <w:t xml:space="preserve">Right-aligned – for dates, signatures ▶</w:t>
      </w:r>
    </w:p>
    <w:p>
      <w:pPr>
        <w:spacing w:after="80"/>
        <w:jc w:val="both"/>
      </w:pPr>
      <w:r>
        <w:rPr>
          <w:rFonts w:ascii="Arial" w:cs="Arial" w:eastAsia="Arial" w:hAnsi="Arial"/>
          <w:color w:val="333333"/>
          <w:sz w:val="22"/>
          <w:szCs w:val="22"/>
        </w:rPr>
        <w:t xml:space="preserve">Justified text distributes words evenly across the full line width. This creates clean left and right edges, commonly used in formal documents, reports, and publications where a polished appearance is paramount.</w:t>
      </w:r>
    </w:p>
    <w:p>
      <w:pPr>
        <w:spacing w:after="80"/>
        <w:ind w:firstLine="720"/>
      </w:pPr>
      <w:r>
        <w:rPr>
          <w:rFonts w:ascii="Arial" w:cs="Arial" w:eastAsia="Arial" w:hAnsi="Arial"/>
          <w:color w:val="333333"/>
          <w:sz w:val="22"/>
          <w:szCs w:val="22"/>
        </w:rPr>
        <w:t xml:space="preserve">First-line indent (720 DXA = 0.5 inch). Common in academic and literary documents. Set via indent: { firstLine: value }.</w:t>
      </w:r>
    </w:p>
    <w:p>
      <w:pPr>
        <w:spacing w:after="80"/>
        <w:ind w:left="720"/>
      </w:pPr>
      <w:r>
        <w:rPr>
          <w:rFonts w:ascii="Arial" w:cs="Arial" w:eastAsia="Arial" w:hAnsi="Arial"/>
          <w:color w:val="333333"/>
          <w:sz w:val="22"/>
          <w:szCs w:val="22"/>
        </w:rPr>
        <w:t xml:space="preserve">Block indent (left: 720 DXA). Creates a visual quote block or secondary-level content. Used for excerpts and callouts.</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Paragraph alignment via AlignmentType.LEFT/CENTER/RIGHT/JUSTIFIED. Indentation via indent: { firstLine, left, right, hanging } in DXA units (1440 DXA = 1 inch).</w:t>
      </w:r>
    </w:p>
    <w:p>
      <w:r>
        <w:br w:type="page"/>
      </w:r>
    </w:p>
    <w:p>
      <w:pPr>
        <w:pStyle w:val="Heading1"/>
      </w:pPr>
      <w:r>
        <w:t xml:space="preserve">Lists</w:t>
      </w:r>
    </w:p>
    <w:p>
      <w:pPr>
        <w:spacing w:after="120"/>
      </w:pPr>
      <w:r>
        <w:rPr>
          <w:rFonts w:ascii="Arial" w:cs="Arial" w:eastAsia="Arial" w:hAnsi="Arial"/>
          <w:color w:val="333333"/>
          <w:sz w:val="22"/>
          <w:szCs w:val="22"/>
        </w:rPr>
        <w:t xml:space="preserve">Proper list formatting requires the numbering config – never use manual unicode bullet characters.</w:t>
      </w:r>
    </w:p>
    <w:p>
      <w:pPr>
        <w:spacing w:after="80"/>
      </w:pPr>
    </w:p>
    <w:p>
      <w:pPr>
        <w:pStyle w:val="Heading2"/>
      </w:pPr>
      <w:r>
        <w:t xml:space="preserve">Bulleted List (Multi-level)</w:t>
      </w:r>
    </w:p>
    <w:p>
      <w:pPr>
        <w:pStyle w:val="ListParagraph"/>
        <w:numPr>
          <w:ilvl w:val="0"/>
          <w:numId w:val="2"/>
        </w:numPr>
        <w:spacing w:after="60"/>
      </w:pPr>
      <w:r>
        <w:rPr>
          <w:rFonts w:ascii="Arial" w:cs="Arial" w:eastAsia="Arial" w:hAnsi="Arial"/>
          <w:color w:val="333333"/>
          <w:sz w:val="22"/>
          <w:szCs w:val="22"/>
        </w:rPr>
        <w:t xml:space="preserve">Level 0 – Primary bullet (•)</w:t>
      </w:r>
    </w:p>
    <w:p>
      <w:pPr>
        <w:pStyle w:val="ListParagraph"/>
        <w:numPr>
          <w:ilvl w:val="0"/>
          <w:numId w:val="2"/>
        </w:numPr>
        <w:spacing w:after="60"/>
      </w:pPr>
      <w:r>
        <w:rPr>
          <w:rFonts w:ascii="Arial" w:cs="Arial" w:eastAsia="Arial" w:hAnsi="Arial"/>
          <w:color w:val="333333"/>
          <w:sz w:val="22"/>
          <w:szCs w:val="22"/>
        </w:rPr>
        <w:t xml:space="preserve">Another primary item with details</w:t>
      </w:r>
    </w:p>
    <w:p>
      <w:pPr>
        <w:pStyle w:val="ListParagraph"/>
        <w:numPr>
          <w:ilvl w:val="1"/>
          <w:numId w:val="2"/>
        </w:numPr>
        <w:spacing w:after="60"/>
      </w:pPr>
      <w:r>
        <w:rPr>
          <w:rFonts w:ascii="Arial" w:cs="Arial" w:eastAsia="Arial" w:hAnsi="Arial"/>
          <w:color w:val="333333"/>
          <w:sz w:val="22"/>
          <w:szCs w:val="22"/>
        </w:rPr>
        <w:t xml:space="preserve">Level 1 – Secondary bullet (◦)</w:t>
      </w:r>
    </w:p>
    <w:p>
      <w:pPr>
        <w:pStyle w:val="ListParagraph"/>
        <w:numPr>
          <w:ilvl w:val="1"/>
          <w:numId w:val="2"/>
        </w:numPr>
        <w:spacing w:after="60"/>
      </w:pPr>
      <w:r>
        <w:rPr>
          <w:rFonts w:ascii="Arial" w:cs="Arial" w:eastAsia="Arial" w:hAnsi="Arial"/>
          <w:color w:val="333333"/>
          <w:sz w:val="22"/>
          <w:szCs w:val="22"/>
        </w:rPr>
        <w:t xml:space="preserve">Level 1 continued</w:t>
      </w:r>
    </w:p>
    <w:p>
      <w:pPr>
        <w:pStyle w:val="ListParagraph"/>
        <w:numPr>
          <w:ilvl w:val="2"/>
          <w:numId w:val="2"/>
        </w:numPr>
        <w:spacing w:after="60"/>
      </w:pPr>
      <w:r>
        <w:rPr>
          <w:rFonts w:ascii="Arial" w:cs="Arial" w:eastAsia="Arial" w:hAnsi="Arial"/>
          <w:color w:val="333333"/>
          <w:sz w:val="22"/>
          <w:szCs w:val="22"/>
        </w:rPr>
        <w:t xml:space="preserve">Level 2 – Tertiary bullet (▪)</w:t>
      </w:r>
    </w:p>
    <w:p>
      <w:pPr>
        <w:pStyle w:val="ListParagraph"/>
        <w:numPr>
          <w:ilvl w:val="0"/>
          <w:numId w:val="2"/>
        </w:numPr>
        <w:spacing w:after="60"/>
      </w:pPr>
      <w:r>
        <w:rPr>
          <w:rFonts w:ascii="Arial" w:cs="Arial" w:eastAsia="Arial" w:hAnsi="Arial"/>
          <w:color w:val="333333"/>
          <w:sz w:val="22"/>
          <w:szCs w:val="22"/>
        </w:rPr>
        <w:t xml:space="preserve">Back to level 0</w:t>
      </w:r>
    </w:p>
    <w:p>
      <w:pPr>
        <w:spacing w:after="80"/>
      </w:pPr>
    </w:p>
    <w:p>
      <w:pPr>
        <w:pStyle w:val="Heading2"/>
      </w:pPr>
      <w:r>
        <w:t xml:space="preserve">Numbered List (Multi-level)</w:t>
      </w:r>
    </w:p>
    <w:p>
      <w:pPr>
        <w:pStyle w:val="ListParagraph"/>
        <w:numPr>
          <w:ilvl w:val="0"/>
          <w:numId w:val="3"/>
        </w:numPr>
        <w:spacing w:after="60"/>
      </w:pPr>
      <w:r>
        <w:rPr>
          <w:rFonts w:ascii="Arial" w:cs="Arial" w:eastAsia="Arial" w:hAnsi="Arial"/>
          <w:color w:val="333333"/>
          <w:sz w:val="22"/>
          <w:szCs w:val="22"/>
        </w:rPr>
        <w:t xml:space="preserve">First item with decimal numbering</w:t>
      </w:r>
    </w:p>
    <w:p>
      <w:pPr>
        <w:pStyle w:val="ListParagraph"/>
        <w:numPr>
          <w:ilvl w:val="0"/>
          <w:numId w:val="3"/>
        </w:numPr>
        <w:spacing w:after="60"/>
      </w:pPr>
      <w:r>
        <w:rPr>
          <w:rFonts w:ascii="Arial" w:cs="Arial" w:eastAsia="Arial" w:hAnsi="Arial"/>
          <w:color w:val="333333"/>
          <w:sz w:val="22"/>
          <w:szCs w:val="22"/>
        </w:rPr>
        <w:t xml:space="preserve">Second item</w:t>
      </w:r>
    </w:p>
    <w:p>
      <w:pPr>
        <w:pStyle w:val="ListParagraph"/>
        <w:numPr>
          <w:ilvl w:val="1"/>
          <w:numId w:val="3"/>
        </w:numPr>
        <w:spacing w:after="60"/>
      </w:pPr>
      <w:r>
        <w:rPr>
          <w:rFonts w:ascii="Arial" w:cs="Arial" w:eastAsia="Arial" w:hAnsi="Arial"/>
          <w:color w:val="333333"/>
          <w:sz w:val="22"/>
          <w:szCs w:val="22"/>
        </w:rPr>
        <w:t xml:space="preserve">Sub-item with letter numbering (a, b, c)</w:t>
      </w:r>
    </w:p>
    <w:p>
      <w:pPr>
        <w:pStyle w:val="ListParagraph"/>
        <w:numPr>
          <w:ilvl w:val="1"/>
          <w:numId w:val="3"/>
        </w:numPr>
        <w:spacing w:after="60"/>
      </w:pPr>
      <w:r>
        <w:rPr>
          <w:rFonts w:ascii="Arial" w:cs="Arial" w:eastAsia="Arial" w:hAnsi="Arial"/>
          <w:color w:val="333333"/>
          <w:sz w:val="22"/>
          <w:szCs w:val="22"/>
        </w:rPr>
        <w:t xml:space="preserve">Another sub-item</w:t>
      </w:r>
    </w:p>
    <w:p>
      <w:pPr>
        <w:pStyle w:val="ListParagraph"/>
        <w:numPr>
          <w:ilvl w:val="2"/>
          <w:numId w:val="3"/>
        </w:numPr>
        <w:spacing w:after="60"/>
      </w:pPr>
      <w:r>
        <w:rPr>
          <w:rFonts w:ascii="Arial" w:cs="Arial" w:eastAsia="Arial" w:hAnsi="Arial"/>
          <w:color w:val="333333"/>
          <w:sz w:val="22"/>
          <w:szCs w:val="22"/>
        </w:rPr>
        <w:t xml:space="preserve">Roman numeral sub-sub-item (i, ii, iii)</w:t>
      </w:r>
    </w:p>
    <w:p>
      <w:pPr>
        <w:pStyle w:val="ListParagraph"/>
        <w:numPr>
          <w:ilvl w:val="0"/>
          <w:numId w:val="3"/>
        </w:numPr>
        <w:spacing w:after="60"/>
      </w:pPr>
      <w:r>
        <w:rPr>
          <w:rFonts w:ascii="Arial" w:cs="Arial" w:eastAsia="Arial" w:hAnsi="Arial"/>
          <w:color w:val="333333"/>
          <w:sz w:val="22"/>
          <w:szCs w:val="22"/>
        </w:rPr>
        <w:t xml:space="preserve">Third main item</w:t>
      </w:r>
    </w:p>
    <w:p>
      <w:pPr>
        <w:spacing w:after="80"/>
      </w:pPr>
    </w:p>
    <w:p>
      <w:pPr>
        <w:pStyle w:val="Heading2"/>
      </w:pPr>
      <w:r>
        <w:t xml:space="preserve">Checklist</w:t>
      </w:r>
    </w:p>
    <w:p>
      <w:pPr>
        <w:pStyle w:val="ListParagraph"/>
        <w:numPr>
          <w:ilvl w:val="0"/>
          <w:numId w:val="4"/>
        </w:numPr>
        <w:spacing w:after="60"/>
      </w:pPr>
      <w:r>
        <w:rPr>
          <w:rFonts w:ascii="Arial" w:cs="Arial" w:eastAsia="Arial" w:hAnsi="Arial"/>
          <w:color w:val="333333"/>
          <w:sz w:val="22"/>
          <w:szCs w:val="22"/>
        </w:rPr>
        <w:t xml:space="preserve">Design tokens defined</w:t>
      </w:r>
    </w:p>
    <w:p>
      <w:pPr>
        <w:pStyle w:val="ListParagraph"/>
        <w:numPr>
          <w:ilvl w:val="0"/>
          <w:numId w:val="4"/>
        </w:numPr>
        <w:spacing w:after="60"/>
      </w:pPr>
      <w:r>
        <w:rPr>
          <w:rFonts w:ascii="Arial" w:cs="Arial" w:eastAsia="Arial" w:hAnsi="Arial"/>
          <w:color w:val="333333"/>
          <w:sz w:val="22"/>
          <w:szCs w:val="22"/>
        </w:rPr>
        <w:t xml:space="preserve">Typography scale configured</w:t>
      </w:r>
    </w:p>
    <w:p>
      <w:pPr>
        <w:pStyle w:val="ListParagraph"/>
        <w:numPr>
          <w:ilvl w:val="0"/>
          <w:numId w:val="4"/>
        </w:numPr>
        <w:spacing w:after="60"/>
      </w:pPr>
      <w:r>
        <w:rPr>
          <w:rFonts w:ascii="Arial" w:cs="Arial" w:eastAsia="Arial" w:hAnsi="Arial"/>
          <w:color w:val="333333"/>
          <w:sz w:val="22"/>
          <w:szCs w:val="22"/>
        </w:rPr>
        <w:t xml:space="preserve">Table styles created</w:t>
      </w:r>
    </w:p>
    <w:p>
      <w:pPr>
        <w:pStyle w:val="ListParagraph"/>
        <w:numPr>
          <w:ilvl w:val="0"/>
          <w:numId w:val="4"/>
        </w:numPr>
        <w:spacing w:after="60"/>
      </w:pPr>
      <w:r>
        <w:rPr>
          <w:rFonts w:ascii="Arial" w:cs="Arial" w:eastAsia="Arial" w:hAnsi="Arial"/>
          <w:color w:val="333333"/>
          <w:sz w:val="22"/>
          <w:szCs w:val="22"/>
        </w:rPr>
        <w:t xml:space="preserve">Charts embedded</w:t>
      </w:r>
    </w:p>
    <w:p>
      <w:pPr>
        <w:pStyle w:val="ListParagraph"/>
        <w:numPr>
          <w:ilvl w:val="0"/>
          <w:numId w:val="4"/>
        </w:numPr>
        <w:spacing w:after="60"/>
      </w:pPr>
      <w:r>
        <w:rPr>
          <w:rFonts w:ascii="Arial" w:cs="Arial" w:eastAsia="Arial" w:hAnsi="Arial"/>
          <w:color w:val="333333"/>
          <w:sz w:val="22"/>
          <w:szCs w:val="22"/>
        </w:rPr>
        <w:t xml:space="preserve">Headers &amp; footers set up</w:t>
      </w:r>
    </w:p>
    <w:p>
      <w:pPr>
        <w:spacing w:after="80"/>
      </w:pP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Lists use Document.numbering.config with named references ("bullets", "numbers"). Each level defines format (LevelFormat.BULLET/DECIMAL/LOWER_LETTER/LOWER_ROMAN), text pattern, and indent. Paragraphs reference via numbering: { reference, level }.</w:t>
      </w:r>
    </w:p>
    <w:p>
      <w:pPr>
        <w:pBdr>
          <w:left w:val="single" w:color="E8A838" w:sz="12" w:space="8"/>
        </w:pBdr>
        <w:shd w:fill="FFF8E1" w:val="clear"/>
        <w:spacing w:after="0" w:before="200"/>
      </w:pPr>
      <w:r>
        <w:drawing>
          <wp:inline distT="0" distB="0" distL="0" distR="0">
            <wp:extent cx="171450" cy="17145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E8A838"/>
          <w:sz w:val="20"/>
          <w:szCs w:val="20"/>
        </w:rPr>
        <w:t xml:space="preserve">  Antipattern</w:t>
      </w:r>
    </w:p>
    <w:p>
      <w:pPr>
        <w:pBdr>
          <w:left w:val="single" w:color="E8A838" w:sz="12" w:space="8"/>
        </w:pBdr>
        <w:shd w:fill="FFF8E1" w:val="clear"/>
        <w:spacing w:after="200"/>
      </w:pPr>
      <w:r>
        <w:rPr>
          <w:rFonts w:ascii="Arial" w:cs="Arial" w:eastAsia="Arial" w:hAnsi="Arial"/>
          <w:color w:val="333333"/>
          <w:sz w:val="18"/>
          <w:szCs w:val="18"/>
        </w:rPr>
        <w:t xml:space="preserve">Never use new TextRun("• Item") or unicode bullet characters. This breaks accessibility, breaks list continuation, and prevents Word from recognizing the list structure.</w:t>
      </w:r>
    </w:p>
    <w:p>
      <w:r>
        <w:br w:type="page"/>
      </w:r>
    </w:p>
    <w:p>
      <w:pPr>
        <w:pStyle w:val="Heading1"/>
      </w:pPr>
      <w:r>
        <w:t xml:space="preserve">Tables</w:t>
      </w:r>
    </w:p>
    <w:p>
      <w:pPr>
        <w:spacing w:after="120"/>
      </w:pPr>
      <w:r>
        <w:rPr>
          <w:rFonts w:ascii="Arial" w:cs="Arial" w:eastAsia="Arial" w:hAnsi="Arial"/>
          <w:color w:val="333333"/>
          <w:sz w:val="22"/>
          <w:szCs w:val="22"/>
        </w:rPr>
        <w:t xml:space="preserve">Tables are the most complex element in docx generation. They require careful width management for cross-platform compatibility.</w:t>
      </w:r>
    </w:p>
    <w:p>
      <w:pPr>
        <w:spacing w:after="80"/>
      </w:pPr>
    </w:p>
    <w:p>
      <w:pPr>
        <w:pStyle w:val="Heading2"/>
      </w:pPr>
      <w:r>
        <w:t xml:space="preserve">Basic Table with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LibreOffice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Docs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Bold/Italic/Underline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Table cell shading</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Multi-level lists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Headers &amp; Footers</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Embedded images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Table of Contents</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Footnotes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Multi-column layout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Landscape sections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bl>
    <w:p>
      <w:pPr>
        <w:spacing w:after="200"/>
        <w:jc w:val="center"/>
      </w:pPr>
      <w:r>
        <w:rPr>
          <w:rFonts w:ascii="Arial" w:cs="Arial" w:eastAsia="Arial" w:hAnsi="Arial"/>
          <w:i/>
          <w:iCs/>
          <w:color w:val="666666"/>
          <w:sz w:val="18"/>
          <w:szCs w:val="18"/>
        </w:rPr>
        <w:t xml:space="preserve">Table 2 – Cross-Platform Compatibility Matrix (✓ = full, ∼ = partial, ✗ = none)</w:t>
      </w:r>
    </w:p>
    <w:p>
      <w:pPr>
        <w:spacing w:after="80"/>
      </w:pP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Table requires width (DXA), columnWidths array (must sum to table width), and matching cell widths. ShadingType.CLEAR for fills (never SOLID). Alternating row colors via index check.</w:t>
      </w:r>
    </w:p>
    <w:p>
      <w:pPr>
        <w:pBdr>
          <w:left w:val="single" w:color="E8A838" w:sz="12" w:space="8"/>
        </w:pBdr>
        <w:shd w:fill="FFF8E1" w:val="clear"/>
        <w:spacing w:after="0" w:before="200"/>
      </w:pPr>
      <w:r>
        <w:drawing>
          <wp:inline distT="0" distB="0" distL="0" distR="0">
            <wp:extent cx="171450" cy="17145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E8A838"/>
          <w:sz w:val="20"/>
          <w:szCs w:val="20"/>
        </w:rPr>
        <w:t xml:space="preserve">  Antipattern</w:t>
      </w:r>
    </w:p>
    <w:p>
      <w:pPr>
        <w:pBdr>
          <w:left w:val="single" w:color="E8A838" w:sz="12" w:space="8"/>
        </w:pBdr>
        <w:shd w:fill="FFF8E1" w:val="clear"/>
        <w:spacing w:after="200"/>
      </w:pPr>
      <w:r>
        <w:rPr>
          <w:rFonts w:ascii="Arial" w:cs="Arial" w:eastAsia="Arial" w:hAnsi="Arial"/>
          <w:color w:val="333333"/>
          <w:sz w:val="18"/>
          <w:szCs w:val="18"/>
        </w:rPr>
        <w:t xml:space="preserve">Never use WidthType.PERCENTAGE – it breaks rendering in Google Docs. Never omit cell margins – text will touch cell borders. Never forget dual widths: both columnWidths AND cell width are required.</w:t>
      </w:r>
    </w:p>
    <w:p>
      <w:pPr>
        <w:spacing w:after="80"/>
      </w:pPr>
    </w:p>
    <w:p>
      <w:pPr>
        <w:pStyle w:val="Heading2"/>
      </w:pPr>
      <w:r>
        <w:t xml:space="preserve">Table with Merged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Merged Header (3 columns)</w:t>
            </w:r>
          </w:p>
        </w:tc>
      </w:tr>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Character formatting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 styles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95%</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Paragraph formatting</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 options</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Table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88%</w:t>
            </w:r>
          </w:p>
        </w:tc>
      </w:tr>
    </w:tbl>
    <w:p>
      <w:pPr>
        <w:spacing w:after="200"/>
        <w:jc w:val="center"/>
      </w:pPr>
      <w:r>
        <w:rPr>
          <w:rFonts w:ascii="Arial" w:cs="Arial" w:eastAsia="Arial" w:hAnsi="Arial"/>
          <w:i/>
          <w:iCs/>
          <w:color w:val="666666"/>
          <w:sz w:val="18"/>
          <w:szCs w:val="18"/>
        </w:rPr>
        <w:t xml:space="preserve">Table 3 – Merged Header Cells Demo</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Cell merging via columnSpan property. The merged cell’s width equals the sum of spanned column widths. Only the first cell in the merged range should be present in the row.</w:t>
      </w:r>
    </w:p>
    <w:p>
      <w:r>
        <w:br w:type="page"/>
      </w:r>
    </w:p>
    <w:p>
      <w:pPr>
        <w:pStyle w:val="Heading1"/>
      </w:pPr>
      <w:r>
        <w:t xml:space="preserve">Images &amp; Charts</w:t>
      </w:r>
    </w:p>
    <w:p>
      <w:pPr>
        <w:spacing w:after="120"/>
      </w:pPr>
      <w:r>
        <w:rPr>
          <w:rFonts w:ascii="Arial" w:cs="Arial" w:eastAsia="Arial" w:hAnsi="Arial"/>
          <w:color w:val="333333"/>
          <w:sz w:val="22"/>
          <w:szCs w:val="22"/>
        </w:rPr>
        <w:t xml:space="preserve">Images are embedded directly into the document via ImageRun. Charts are pre-rendered as PNG via matplotlib and inserted as standard images.</w:t>
      </w:r>
    </w:p>
    <w:p>
      <w:pPr>
        <w:spacing w:after="80"/>
      </w:pPr>
    </w:p>
    <w:p>
      <w:pPr>
        <w:pStyle w:val="Heading2"/>
      </w:pPr>
      <w:r>
        <w:t xml:space="preserve">Embedded Charts</w:t>
      </w:r>
    </w:p>
    <w:p>
      <w:pPr>
        <w:pStyle w:val="Heading3"/>
      </w:pPr>
      <w:r>
        <w:t xml:space="preserve">Bar Chart</w:t>
      </w:r>
    </w:p>
    <w:p>
      <w:pPr>
        <w:spacing w:after="120" w:before="120"/>
        <w:jc w:val="center"/>
      </w:pPr>
      <w:r>
        <w:drawing>
          <wp:inline distT="0" distB="0" distL="0" distR="0">
            <wp:extent cx="4286250" cy="2476500"/>
            <wp:effectExtent t="0" r="0" b="0" l="0"/>
            <wp:docPr id="1" name="Bar chart" descr="Bar chart"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476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Feature Coverage by Category (horizontal bar chart, matplotlib)</w:t>
      </w:r>
    </w:p>
    <w:p>
      <w:pPr>
        <w:pStyle w:val="Heading3"/>
      </w:pPr>
      <w:r>
        <w:t xml:space="preserve">Line Chart with Dual Axis</w:t>
      </w:r>
    </w:p>
    <w:p>
      <w:pPr>
        <w:spacing w:after="120" w:before="120"/>
        <w:jc w:val="center"/>
      </w:pPr>
      <w:r>
        <w:drawing>
          <wp:inline distT="0" distB="0" distL="0" distR="0">
            <wp:extent cx="4286250" cy="2476500"/>
            <wp:effectExtent t="0" r="0" b="0" l="0"/>
            <wp:docPr id="1" name="Line chart" descr="Line chart" title="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2476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Generation Volume &amp; Quality Trend (dual Y-axis, matplotlib)</w:t>
      </w:r>
    </w:p>
    <w:p>
      <w:pPr>
        <w:pStyle w:val="Heading3"/>
      </w:pPr>
      <w:r>
        <w:t xml:space="preserve">Pie Chart</w:t>
      </w:r>
    </w:p>
    <w:p>
      <w:pPr>
        <w:spacing w:after="120" w:before="120"/>
        <w:jc w:val="center"/>
      </w:pPr>
      <w:r>
        <w:drawing>
          <wp:inline distT="0" distB="0" distL="0" distR="0">
            <wp:extent cx="2857500" cy="2857500"/>
            <wp:effectExtent t="0" r="0" b="0" l="0"/>
            <wp:docPr id="1" name="Pie chart" descr="Pie chart" title="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857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Document Complexity Distribution (pie chart, matplotlib)</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Charts are generated as PNG files using matplotlib, then read via fs.readFileSync() and embedded with ImageRun({ type: "png", data: buffer, transformation: { width, height } }). The altText object requires title, description, and name fields.</w:t>
      </w:r>
    </w:p>
    <w:p>
      <w:pPr>
        <w:pBdr>
          <w:left w:val="single" w:color="E8A838" w:sz="12" w:space="8"/>
        </w:pBdr>
        <w:shd w:fill="FFF8E1" w:val="clear"/>
        <w:spacing w:after="0" w:before="200"/>
      </w:pPr>
      <w:r>
        <w:drawing>
          <wp:inline distT="0" distB="0" distL="0" distR="0">
            <wp:extent cx="171450" cy="17145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E8A838"/>
          <w:sz w:val="20"/>
          <w:szCs w:val="20"/>
        </w:rPr>
        <w:t xml:space="preserve">  Antipattern</w:t>
      </w:r>
    </w:p>
    <w:p>
      <w:pPr>
        <w:pBdr>
          <w:left w:val="single" w:color="E8A838" w:sz="12" w:space="8"/>
        </w:pBdr>
        <w:shd w:fill="FFF8E1" w:val="clear"/>
        <w:spacing w:after="200"/>
      </w:pPr>
      <w:r>
        <w:rPr>
          <w:rFonts w:ascii="Arial" w:cs="Arial" w:eastAsia="Arial" w:hAnsi="Arial"/>
          <w:color w:val="333333"/>
          <w:sz w:val="18"/>
          <w:szCs w:val="18"/>
        </w:rPr>
        <w:t xml:space="preserve">Never omit the type parameter on ImageRun – it produces invalid XML. Never omit altText – it’s required for accessibility. Avoid extremely large images (&gt;2000px) as they bloat file size.</w:t>
      </w:r>
    </w:p>
    <w:p>
      <w:pPr>
        <w:spacing w:after="80"/>
      </w:pPr>
    </w:p>
    <w:p>
      <w:pPr>
        <w:pStyle w:val="Heading2"/>
      </w:pPr>
      <w:r>
        <w:t xml:space="preserve">Inline Icons</w:t>
      </w:r>
    </w:p>
    <w:p>
      <w:pPr>
        <w:spacing w:after="120"/>
      </w:pPr>
      <w:r>
        <w:rPr>
          <w:rFonts w:ascii="Arial" w:cs="Arial" w:eastAsia="Arial" w:hAnsi="Arial"/>
          <w:color w:val="333333"/>
          <w:sz w:val="22"/>
          <w:szCs w:val="22"/>
        </w:rPr>
        <w:t xml:space="preserve">Icons can be embedded inline with text: </w:t>
      </w:r>
    </w:p>
    <w:p>
      <w:pPr>
        <w:spacing w:after="120"/>
      </w:pPr>
      <w:r>
        <w:drawing>
          <wp:inline distT="0" distB="0" distL="0" distR="0">
            <wp:extent cx="152400" cy="152400"/>
            <wp:effectExtent t="0" r="0" b="0" l="0"/>
            <wp:docPr id="1"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sz w:val="22"/>
          <w:szCs w:val="22"/>
        </w:rPr>
        <w:t xml:space="preserve"> Info callout    </w:t>
      </w:r>
      <w:r>
        <w:drawing>
          <wp:inline distT="0" distB="0" distL="0" distR="0">
            <wp:extent cx="152400" cy="152400"/>
            <wp:effectExtent t="0" r="0" b="0" l="0"/>
            <wp:docPr id="1" name="warn" descr="warn ico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2400" cy="152400"/>
                    </a:xfrm>
                    <a:prstGeom prst="rect">
                      <a:avLst/>
                    </a:prstGeom>
                  </pic:spPr>
                </pic:pic>
              </a:graphicData>
            </a:graphic>
          </wp:inline>
        </w:drawing>
      </w:r>
      <w:r>
        <w:rPr>
          <w:rFonts w:ascii="Arial" w:cs="Arial" w:eastAsia="Arial" w:hAnsi="Arial"/>
          <w:sz w:val="22"/>
          <w:szCs w:val="22"/>
        </w:rPr>
        <w:t xml:space="preserve"> Warning callout</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Inline icons are ImageRun elements placed alongside TextRun elements within the same Paragraph. Small transformation dimensions (16x16) keep them text-sized.</w:t>
      </w:r>
    </w:p>
    <w:p>
      <w:r>
        <w:br w:type="page"/>
      </w:r>
    </w:p>
    <w:p>
      <w:pPr>
        <w:pStyle w:val="Heading1"/>
      </w:pPr>
      <w:r>
        <w:t xml:space="preserve">Callout Components</w:t>
      </w:r>
    </w:p>
    <w:p>
      <w:pPr>
        <w:spacing w:after="120"/>
      </w:pPr>
      <w:r>
        <w:rPr>
          <w:rFonts w:ascii="Arial" w:cs="Arial" w:eastAsia="Arial" w:hAnsi="Arial"/>
          <w:color w:val="333333"/>
          <w:sz w:val="22"/>
          <w:szCs w:val="22"/>
        </w:rPr>
        <w:t xml:space="preserve">Reusable callout boxes serve as the document’s information architecture. Three variants are defined:</w:t>
      </w:r>
    </w:p>
    <w:p>
      <w:pPr>
        <w:spacing w:after="80"/>
      </w:pPr>
    </w:p>
    <w:p>
      <w:pPr>
        <w:pStyle w:val="Heading2"/>
      </w:pPr>
      <w:r>
        <w:t xml:space="preserve">Info Callout</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Info / How it’s done</w:t>
      </w:r>
    </w:p>
    <w:p>
      <w:pPr>
        <w:pBdr>
          <w:left w:val="single" w:color="2E75B6" w:sz="12" w:space="8"/>
        </w:pBdr>
        <w:shd w:fill="EBF5FB" w:val="clear"/>
        <w:spacing w:after="200"/>
      </w:pPr>
      <w:r>
        <w:rPr>
          <w:rFonts w:ascii="Arial" w:cs="Arial" w:eastAsia="Arial" w:hAnsi="Arial"/>
          <w:color w:val="333333"/>
          <w:sz w:val="18"/>
          <w:szCs w:val="18"/>
        </w:rPr>
        <w:t xml:space="preserve">Blue left border (12pt, accent color), light blue background (EBF5FB), optional inline icon. Used for technical explanations and implementation notes.</w:t>
      </w:r>
    </w:p>
    <w:p>
      <w:pPr>
        <w:pStyle w:val="Heading2"/>
      </w:pPr>
      <w:r>
        <w:t xml:space="preserve">Warning Callout</w:t>
      </w:r>
    </w:p>
    <w:p>
      <w:pPr>
        <w:pBdr>
          <w:left w:val="single" w:color="E8A838" w:sz="12" w:space="8"/>
        </w:pBdr>
        <w:shd w:fill="FFF8E1" w:val="clear"/>
        <w:spacing w:after="0" w:before="200"/>
      </w:pPr>
      <w:r>
        <w:drawing>
          <wp:inline distT="0" distB="0" distL="0" distR="0">
            <wp:extent cx="171450" cy="171450"/>
            <wp:effectExtent t="0" r="0" b="0" l="0"/>
            <wp:docPr id="1" name="warn" descr="warn" title="w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E8A838"/>
          <w:sz w:val="20"/>
          <w:szCs w:val="20"/>
        </w:rPr>
        <w:t xml:space="preserve">  Warning / Antipattern</w:t>
      </w:r>
    </w:p>
    <w:p>
      <w:pPr>
        <w:pBdr>
          <w:left w:val="single" w:color="E8A838" w:sz="12" w:space="8"/>
        </w:pBdr>
        <w:shd w:fill="FFF8E1" w:val="clear"/>
        <w:spacing w:after="200"/>
      </w:pPr>
      <w:r>
        <w:rPr>
          <w:rFonts w:ascii="Arial" w:cs="Arial" w:eastAsia="Arial" w:hAnsi="Arial"/>
          <w:color w:val="333333"/>
          <w:sz w:val="18"/>
          <w:szCs w:val="18"/>
        </w:rPr>
        <w:t xml:space="preserve">Amber left border (12pt, warning color), warm yellow background (FFF8E1), triangle icon. Used for common mistakes and pitfalls to avoid.</w:t>
      </w:r>
    </w:p>
    <w:p>
      <w:pPr>
        <w:pStyle w:val="Heading2"/>
      </w:pPr>
      <w:r>
        <w:t xml:space="preserve">Code Block</w:t>
      </w:r>
    </w:p>
    <w:p>
      <w:pPr>
        <w:pBdr>
          <w:top w:val="single" w:color="DDDDDD" w:sz="1"/>
          <w:bottom w:val="single" w:color="DDDDDD" w:sz="1"/>
          <w:left w:val="single" w:color="DDDDDD" w:sz="1"/>
          <w:right w:val="single" w:color="DDDDDD" w:sz="1"/>
        </w:pBdr>
        <w:shd w:fill="F5F5F5" w:val="clear"/>
        <w:spacing w:after="160" w:before="80"/>
      </w:pPr>
      <w:r>
        <w:rPr>
          <w:rFonts w:ascii="Courier New" w:cs="Courier New" w:eastAsia="Courier New" w:hAnsi="Courier New"/>
          <w:color w:val="333333"/>
          <w:sz w:val="18"/>
          <w:szCs w:val="18"/>
        </w:rPr>
        <w:t xml:space="preserve">const doc = new Document({ sections: [{ children: [...] }] });</w:t>
      </w:r>
    </w:p>
    <w:p>
      <w:pPr>
        <w:pBdr>
          <w:top w:val="single" w:color="DDDDDD" w:sz="1"/>
          <w:bottom w:val="single" w:color="DDDDDD" w:sz="1"/>
          <w:left w:val="single" w:color="DDDDDD" w:sz="1"/>
          <w:right w:val="single" w:color="DDDDDD" w:sz="1"/>
        </w:pBdr>
        <w:shd w:fill="F5F5F5" w:val="clear"/>
        <w:spacing w:after="160" w:before="80"/>
      </w:pPr>
      <w:r>
        <w:rPr>
          <w:rFonts w:ascii="Courier New" w:cs="Courier New" w:eastAsia="Courier New" w:hAnsi="Courier New"/>
          <w:color w:val="333333"/>
          <w:sz w:val="18"/>
          <w:szCs w:val="18"/>
        </w:rPr>
        <w:t xml:space="preserve">Packer.toBuffer(doc).then(buf =&gt; fs.writeFileSync('out.docx', buf));</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Code blocks use Courier New font, gray background (#F5F5F5), thin border. Implemented as Paragraph with shading and border properties. For multi-line code, use separate Paragraph elements (never \n).</w:t>
      </w:r>
    </w:p>
    <w:p>
      <w:r>
        <w:br w:type="page"/>
      </w:r>
    </w:p>
    <w:p>
      <w:pPr>
        <w:pStyle w:val="Heading1"/>
      </w:pPr>
      <w:r>
        <w:t xml:space="preserve">Hyperlinks, Bookmarks &amp; Footnotes</w:t>
      </w:r>
    </w:p>
    <w:p>
      <w:pPr>
        <w:spacing w:after="80"/>
      </w:pPr>
    </w:p>
    <w:p>
      <w:pPr>
        <w:pStyle w:val="Heading2"/>
      </w:pPr>
      <w:r>
        <w:t xml:space="preserve">External Hyperlinks</w:t>
      </w:r>
    </w:p>
    <w:p>
      <w:pPr>
        <w:spacing w:after="120"/>
      </w:pPr>
      <w:r>
        <w:rPr>
          <w:rFonts w:ascii="Arial" w:cs="Arial" w:eastAsia="Arial" w:hAnsi="Arial"/>
          <w:sz w:val="22"/>
          <w:szCs w:val="22"/>
        </w:rPr>
        <w:t xml:space="preserve">Visit </w:t>
      </w:r>
      <w:hyperlink w:history="1" r:id="rIdf0mcpj14wgmqste_6khwm">
        <w:r>
          <w:rPr>
            <w:rStyle w:val="Hyperlink"/>
            <w:rFonts w:ascii="Arial" w:cs="Arial" w:eastAsia="Arial" w:hAnsi="Arial"/>
            <w:sz w:val="22"/>
            <w:szCs w:val="22"/>
          </w:rPr>
          <w:t xml:space="preserve">Anthropic Documentation</w:t>
        </w:r>
      </w:hyperlink>
      <w:r>
        <w:rPr>
          <w:rFonts w:ascii="Arial" w:cs="Arial" w:eastAsia="Arial" w:hAnsi="Arial"/>
          <w:sz w:val="22"/>
          <w:szCs w:val="22"/>
        </w:rPr>
        <w:t xml:space="preserve"> for API reference.</w:t>
      </w:r>
    </w:p>
    <w:p>
      <w:pPr>
        <w:pStyle w:val="Heading2"/>
      </w:pPr>
      <w:r>
        <w:t xml:space="preserve">Internal Bookmarks</w:t>
      </w:r>
    </w:p>
    <w:p>
      <w:pPr>
        <w:spacing w:after="120"/>
      </w:pPr>
      <w:r>
        <w:rPr>
          <w:rFonts w:ascii="Arial" w:cs="Arial" w:eastAsia="Arial" w:hAnsi="Arial"/>
          <w:sz w:val="22"/>
          <w:szCs w:val="22"/>
        </w:rPr>
        <w:t xml:space="preserve">Jump to </w:t>
      </w:r>
      <w:hyperlink w:history="1" w:anchor="design_system">
        <w:r>
          <w:rPr>
            <w:rStyle w:val="Hyperlink"/>
            <w:rFonts w:ascii="Arial" w:cs="Arial" w:eastAsia="Arial" w:hAnsi="Arial"/>
            <w:sz w:val="22"/>
            <w:szCs w:val="22"/>
          </w:rPr>
          <w:t xml:space="preserve">Design System</w:t>
        </w:r>
      </w:hyperlink>
      <w:r>
        <w:rPr>
          <w:rFonts w:ascii="Arial" w:cs="Arial" w:eastAsia="Arial" w:hAnsi="Arial"/>
          <w:sz w:val="22"/>
          <w:szCs w:val="22"/>
        </w:rPr>
        <w:t xml:space="preserve"> section.</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External: ExternalHyperlink with link URL. Internal: create Bookmark({ id, children }) at destination, reference with InternalHyperlink({ anchor: id }). Both use style: "Hyperlink" for blue underlined text.</w:t>
      </w:r>
    </w:p>
    <w:p>
      <w:pPr>
        <w:spacing w:after="80"/>
      </w:pPr>
    </w:p>
    <w:p>
      <w:pPr>
        <w:pStyle w:val="Heading2"/>
      </w:pPr>
      <w:r>
        <w:t xml:space="preserve">Footnotes</w:t>
      </w:r>
    </w:p>
    <w:p>
      <w:pPr>
        <w:spacing w:after="120"/>
      </w:pPr>
      <w:r>
        <w:rPr>
          <w:rFonts w:ascii="Arial" w:cs="Arial" w:eastAsia="Arial" w:hAnsi="Arial"/>
          <w:sz w:val="22"/>
          <w:szCs w:val="22"/>
        </w:rPr>
        <w:t xml:space="preserve">Document generation uses docx-js library</w:t>
      </w:r>
      <w:r>
        <w:rPr>
          <w:rStyle w:val="FootnoteReference"/>
        </w:rPr>
        <w:footnoteReference w:id="1"/>
      </w:r>
      <w:r>
        <w:rPr>
          <w:rFonts w:ascii="Arial" w:cs="Arial" w:eastAsia="Arial" w:hAnsi="Arial"/>
          <w:sz w:val="22"/>
          <w:szCs w:val="22"/>
        </w:rPr>
        <w:t xml:space="preserve"> with Node.js runtime</w:t>
      </w:r>
      <w:r>
        <w:rPr>
          <w:rStyle w:val="FootnoteReference"/>
        </w:rPr>
        <w:footnoteReference w:id="2"/>
      </w:r>
      <w:r>
        <w:rPr>
          <w:rFonts w:ascii="Arial" w:cs="Arial" w:eastAsia="Arial" w:hAnsi="Arial"/>
          <w:sz w:val="22"/>
          <w:szCs w:val="22"/>
        </w:rPr>
        <w:t xml:space="preserve">.</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Footnotes defined in Document constructor under footnotes: { 1: { children: [...] } }. Referenced inline via FootnoteReferenceRun(id). Automatically numbered and placed at page bottom.</w:t>
      </w:r>
    </w:p>
    <w:p>
      <w:pPr>
        <w:pStyle w:val="Heading2"/>
      </w:pPr>
      <w:r>
        <w:t xml:space="preserve">Tab Stops</w:t>
      </w:r>
    </w:p>
    <w:p>
      <w:pPr>
        <w:tabs>
          <w:tab w:val="right" w:pos="9026"/>
        </w:tabs>
        <w:spacing w:after="120"/>
      </w:pPr>
      <w:r>
        <w:rPr>
          <w:rFonts w:ascii="Arial" w:cs="Arial" w:eastAsia="Arial" w:hAnsi="Arial"/>
          <w:color w:val="333333"/>
          <w:sz w:val="22"/>
          <w:szCs w:val="22"/>
        </w:rPr>
        <w:t xml:space="preserve">Left-aligned text</w:t>
      </w:r>
      <w:r>
        <w:rPr>
          <w:rFonts w:ascii="Arial" w:cs="Arial" w:eastAsia="Arial" w:hAnsi="Arial"/>
          <w:color w:val="666666"/>
          <w:sz w:val="22"/>
          <w:szCs w:val="22"/>
        </w:rPr>
        <w:t xml:space="preserve">	Right-aligned on same line</w:t>
      </w:r>
    </w:p>
    <w:p>
      <w:pPr>
        <w:spacing w:after="120"/>
      </w:pPr>
      <w:r>
        <w:t xml:space="preserve">Chapter 1</w:t>
      </w:r>
      <w:r>
        <w:ptab w:alignment="right" w:relativeTo="margin" w:leader="dot"/>
        <w:t xml:space="preserve">5</w:t>
      </w:r>
    </w:p>
    <w:p>
      <w:pPr>
        <w:spacing w:after="120"/>
      </w:pPr>
      <w:r>
        <w:t xml:space="preserve">Chapter 2</w:t>
      </w:r>
      <w:r>
        <w:ptab w:alignment="right" w:relativeTo="margin" w:leader="dot"/>
        <w:t xml:space="preserve">18</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Tab stops: TabStopType.RIGHT with TabStopPosition.MAX for right-alignment on same line. Dot leaders via PositionalTab with PositionalTabLeader.DOT for TOC-like formatting.</w:t>
      </w:r>
    </w:p>
    <w:p>
      <w:r>
        <w:br w:type="page"/>
      </w:r>
    </w:p>
    <w:p>
      <w:pPr>
        <w:pStyle w:val="Heading1"/>
      </w:pPr>
      <w:r>
        <w:t xml:space="preserve">Page Layout &amp; Sections</w:t>
      </w:r>
    </w:p>
    <w:p>
      <w:pPr>
        <w:spacing w:after="120"/>
      </w:pPr>
      <w:r>
        <w:rPr>
          <w:rFonts w:ascii="Arial" w:cs="Arial" w:eastAsia="Arial" w:hAnsi="Arial"/>
          <w:color w:val="333333"/>
          <w:sz w:val="22"/>
          <w:szCs w:val="22"/>
        </w:rPr>
        <w:t xml:space="preserve">Documents can mix page orientations, column layouts, and section breaks within a single file.</w:t>
      </w:r>
    </w:p>
    <w:p>
      <w:pPr>
        <w:spacing w:after="80"/>
      </w:pPr>
    </w:p>
    <w:p>
      <w:pPr>
        <w:pStyle w:val="Heading2"/>
      </w:pPr>
      <w:r>
        <w:t xml:space="preserve">Page Breaks</w:t>
      </w:r>
    </w:p>
    <w:p>
      <w:pPr>
        <w:spacing w:after="120"/>
      </w:pPr>
      <w:r>
        <w:rPr>
          <w:rFonts w:ascii="Arial" w:cs="Arial" w:eastAsia="Arial" w:hAnsi="Arial"/>
          <w:color w:val="333333"/>
          <w:sz w:val="22"/>
          <w:szCs w:val="22"/>
        </w:rPr>
        <w:t xml:space="preserve">Page breaks can be inline (new PageBreak() inside a Paragraph) or automatic (pageBreakBefore: true on a Paragraph). Section breaks allow orientation and margin changes mid-document.</w:t>
      </w:r>
    </w:p>
    <w:p>
      <w:pPr>
        <w:spacing w:after="80"/>
      </w:pPr>
    </w:p>
    <w:p>
      <w:pPr>
        <w:pStyle w:val="Heading2"/>
      </w:pPr>
      <w:r>
        <w:t xml:space="preserve">Margins &amp; Page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 Letter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A4</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Width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12,240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11,906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DXA</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Height</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15,840</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16,838</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DXA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1 inch margin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1,440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1,440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DXA</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Content width</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9,360</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9,026</w:t>
            </w:r>
          </w:p>
        </w:tc>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DXA</w:t>
            </w:r>
          </w:p>
        </w:tc>
      </w:tr>
    </w:tbl>
    <w:p>
      <w:pPr>
        <w:spacing w:after="200"/>
        <w:jc w:val="center"/>
      </w:pPr>
      <w:r>
        <w:rPr>
          <w:rFonts w:ascii="Arial" w:cs="Arial" w:eastAsia="Arial" w:hAnsi="Arial"/>
          <w:i/>
          <w:iCs/>
          <w:color w:val="666666"/>
          <w:sz w:val="18"/>
          <w:szCs w:val="18"/>
        </w:rPr>
        <w:t xml:space="preserve">Table 4 – Page Size Reference (1440 DXA = 1 inch = 72pt)</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Page size set in section properties: page.size.width / height. Margins via page.margin. All values in DXA (twentieths of a point). Content width = page width – left margin – right margin.</w:t>
      </w:r>
    </w:p>
    <w:p>
      <w:pPr>
        <w:spacing w:after="120"/>
      </w:pPr>
      <w:r>
        <w:rPr>
          <w:rFonts w:ascii="Arial" w:cs="Arial" w:eastAsia="Arial" w:hAnsi="Arial"/>
          <w:color w:val="333333"/>
          <w:sz w:val="22"/>
          <w:szCs w:val="22"/>
        </w:rPr>
        <w:t xml:space="preserve">The next page demonstrates landscape orientation via a section break.</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pPr>
      <w:r>
        <w:t xml:space="preserve">Landscape Orientation</w:t>
      </w:r>
    </w:p>
    <w:p>
      <w:pPr>
        <w:spacing w:after="120"/>
      </w:pPr>
      <w:r>
        <w:rPr>
          <w:rFonts w:ascii="Arial" w:cs="Arial" w:eastAsia="Arial" w:hAnsi="Arial"/>
          <w:color w:val="333333"/>
          <w:sz w:val="22"/>
          <w:szCs w:val="22"/>
        </w:rPr>
        <w:t xml:space="preserve">This page uses landscape orientation via a section break. Ideal for wide tables and comparison matrices.</w:t>
      </w:r>
    </w:p>
    <w:p>
      <w:pPr>
        <w:spacing w:after="8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gridCol w:w="1200"/>
        <w:gridCol w:w="1200"/>
        <w:gridCol w:w="1200"/>
      </w:tblGrid>
      <w:tr>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
Win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
Mac</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Word
Web</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Libre
Office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Docs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WPS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OnlyO.</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PDF</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Typography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Tables</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Merged cells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Images</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Footnotes</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Headers/Footers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Multi-column</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E8A838"/>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Landscape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C0392B"/>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r>
        <w:tc>
          <w:tcPr>
            <w:tcW w:type="dxa" w:w="2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Hyperlinks</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center"/>
            </w:pPr>
            <w:r>
              <w:rPr>
                <w:rFonts w:ascii="Arial" w:cs="Arial" w:eastAsia="Arial" w:hAnsi="Arial"/>
                <w:color w:val="2E8B57"/>
                <w:sz w:val="20"/>
                <w:szCs w:val="20"/>
              </w:rPr>
              <w:t xml:space="preserve">✓</w:t>
            </w:r>
          </w:p>
        </w:tc>
      </w:tr>
    </w:tbl>
    <w:p>
      <w:pPr>
        <w:spacing w:after="200"/>
        <w:jc w:val="center"/>
      </w:pPr>
      <w:r>
        <w:rPr>
          <w:rFonts w:ascii="Arial" w:cs="Arial" w:eastAsia="Arial" w:hAnsi="Arial"/>
          <w:i/>
          <w:iCs/>
          <w:color w:val="666666"/>
          <w:sz w:val="18"/>
          <w:szCs w:val="18"/>
        </w:rPr>
        <w:t xml:space="preserve">Table 5 – Full Cross-Platform Compatibility Matrix (landscape view)</w:t>
      </w:r>
    </w:p>
    <w:p>
      <w:pPr>
        <w:pBdr>
          <w:left w:val="single" w:color="2E75B6" w:sz="12" w:space="8"/>
        </w:pBdr>
        <w:shd w:fill="EBF5FB" w:val="clear"/>
        <w:spacing w:after="0" w:before="200"/>
      </w:pPr>
      <w:r>
        <w:drawing>
          <wp:inline distT="0" distB="0" distL="0" distR="0">
            <wp:extent cx="171450" cy="171450"/>
            <wp:effectExtent t="0" r="0" b="0" l="0"/>
            <wp:docPr id="1" name="icon" descr="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2E75B6"/>
          <w:sz w:val="20"/>
          <w:szCs w:val="20"/>
        </w:rPr>
        <w:t xml:space="preserve">  How it’s done</w:t>
      </w:r>
    </w:p>
    <w:p>
      <w:pPr>
        <w:pBdr>
          <w:left w:val="single" w:color="2E75B6" w:sz="12" w:space="8"/>
        </w:pBdr>
        <w:shd w:fill="EBF5FB" w:val="clear"/>
        <w:spacing w:after="200"/>
      </w:pPr>
      <w:r>
        <w:rPr>
          <w:rFonts w:ascii="Arial" w:cs="Arial" w:eastAsia="Arial" w:hAnsi="Arial"/>
          <w:color w:val="333333"/>
          <w:sz w:val="18"/>
          <w:szCs w:val="18"/>
        </w:rPr>
        <w:t xml:space="preserve">Landscape via section properties: page.size.orientation = PageOrientation.LANDSCAPE + type: SectionType.NEXT_PAGE. Pass portrait dimensions – docx-js swaps them internally. Content width becomes 15840 – 2×1440 = 12960 DXA.</w:t>
      </w:r>
    </w:p>
    <w:p>
      <w:pPr>
        <w:sectPr>
          <w:headerReference w:type="default" r:id="rId9"/>
          <w:footerReference w:type="default" r:id="rId10"/>
          <w:type w:val="nextPage"/>
          <w:pgSz w:w="15840" w:h="12240" w:orient="landscape"/>
          <w:pgMar w:top="1440" w:right="1440" w:bottom="1440" w:left="1440" w:header="708" w:footer="708" w:gutter="0"/>
          <w:pgNumType/>
          <w:docGrid w:linePitch="360"/>
        </w:sectPr>
      </w:pPr>
    </w:p>
    <w:p>
      <w:pPr>
        <w:pStyle w:val="Heading2"/>
      </w:pPr>
      <w:r>
        <w:t xml:space="preserve">Multi-Column Layout</w:t>
      </w:r>
    </w:p>
    <w:p>
      <w:pPr>
        <w:spacing w:after="120"/>
      </w:pPr>
      <w:r>
        <w:rPr>
          <w:rFonts w:ascii="Arial" w:cs="Arial" w:eastAsia="Arial" w:hAnsi="Arial"/>
          <w:color w:val="333333"/>
          <w:sz w:val="22"/>
          <w:szCs w:val="22"/>
        </w:rPr>
        <w:t xml:space="preserve">This section uses a two-column layout with a vertical separator. Text flows naturally from the bottom of the left column to the top of the right column.</w:t>
      </w:r>
    </w:p>
    <w:p>
      <w:pPr>
        <w:spacing w:after="80"/>
      </w:pPr>
    </w:p>
    <w:p>
      <w:pPr>
        <w:spacing w:after="120"/>
      </w:pPr>
      <w:r>
        <w:rPr>
          <w:rFonts w:ascii="Arial" w:cs="Arial" w:eastAsia="Arial" w:hAnsi="Arial"/>
          <w:color w:val="333333"/>
          <w:sz w:val="22"/>
          <w:szCs w:val="22"/>
        </w:rPr>
        <w:t xml:space="preserve">Multi-column layouts are ideal for newsletters, brochures, comparison documents, and any content that benefits from shorter line lengths. Research shows that 45–75 characters per line is optimal for readability.</w:t>
      </w:r>
    </w:p>
    <w:p>
      <w:pPr>
        <w:spacing w:after="80"/>
      </w:pPr>
    </w:p>
    <w:p>
      <w:pPr>
        <w:spacing w:after="120"/>
      </w:pPr>
      <w:r>
        <w:rPr>
          <w:rFonts w:ascii="Arial" w:cs="Arial" w:eastAsia="Arial" w:hAnsi="Arial"/>
          <w:color w:val="333333"/>
          <w:sz w:val="22"/>
          <w:szCs w:val="22"/>
        </w:rPr>
        <w:t xml:space="preserve">Column configuration is set at the section level: column.count for number of columns, column.space for the gap between them (720 DXA = 0.5 inch), and column.separate for the vertical divider line.</w:t>
      </w:r>
    </w:p>
    <w:p>
      <w:pPr>
        <w:spacing w:after="80"/>
      </w:pPr>
    </w:p>
    <w:p>
      <w:pPr>
        <w:spacing w:after="120"/>
      </w:pPr>
      <w:r>
        <w:rPr>
          <w:rFonts w:ascii="Arial" w:cs="Arial" w:eastAsia="Arial" w:hAnsi="Arial"/>
          <w:color w:val="333333"/>
          <w:sz w:val="22"/>
          <w:szCs w:val="22"/>
        </w:rPr>
        <w:t xml:space="preserve">For unequal columns, set equalWidth: false and define each Column with specific width and space values. This is useful for sidebar layouts where one column is narrow (e.g., navigation) and the other is wide (main content).</w:t>
      </w:r>
    </w:p>
    <w:p>
      <w:pPr>
        <w:spacing w:after="80"/>
      </w:pPr>
    </w:p>
    <w:p>
      <w:pPr>
        <w:spacing w:after="120"/>
      </w:pPr>
      <w:r>
        <w:rPr>
          <w:rFonts w:ascii="Arial" w:cs="Arial" w:eastAsia="Arial" w:hAnsi="Arial"/>
          <w:color w:val="333333"/>
          <w:sz w:val="22"/>
          <w:szCs w:val="22"/>
        </w:rPr>
        <w:t xml:space="preserve">Force content to the next column with SectionType.NEXT_COLUMN. This acts as a column break, pushing subsequent content to the top of the next column – similar to a page break but within the same page.</w:t>
      </w:r>
    </w:p>
    <w:p>
      <w:pPr>
        <w:spacing w:after="80"/>
      </w:pPr>
    </w:p>
    <w:p>
      <w:pPr>
        <w:spacing w:after="120"/>
      </w:pPr>
      <w:r>
        <w:rPr>
          <w:rFonts w:ascii="Arial" w:cs="Arial" w:eastAsia="Arial" w:hAnsi="Arial"/>
          <w:color w:val="333333"/>
          <w:sz w:val="22"/>
          <w:szCs w:val="22"/>
        </w:rPr>
        <w:t xml:space="preserve">Key limitation: headers, footers, and margins are shared across all columns within a section. Each column cannot have its own independent header or footer.</w:t>
      </w:r>
    </w:p>
    <w:p>
      <w:pPr>
        <w:sectPr>
          <w:headerReference w:type="default" r:id="rId11"/>
          <w:footerReference w:type="default" r:id="rId12"/>
          <w:type w:val="nextPage"/>
          <w:pgSz w:w="12240" w:h="15840" w:orient="portrait"/>
          <w:pgMar w:top="1440" w:right="1440" w:bottom="1440" w:left="1440" w:header="708" w:footer="708" w:gutter="0"/>
          <w:pgNumType/>
          <w:cols w:space="720" w:num="2" w:sep="true" w:equalWidth="true"/>
          <w:docGrid w:linePitch="360"/>
        </w:sectPr>
      </w:pPr>
    </w:p>
    <w:p>
      <w:pPr>
        <w:pStyle w:val="Heading1"/>
      </w:pPr>
      <w:r>
        <w:t xml:space="preserve">Appendix: API Quick Reference</w:t>
      </w:r>
    </w:p>
    <w:p>
      <w:pPr>
        <w:spacing w:after="120"/>
      </w:pPr>
      <w:r>
        <w:rPr>
          <w:rFonts w:ascii="Arial" w:cs="Arial" w:eastAsia="Arial" w:hAnsi="Arial"/>
          <w:color w:val="333333"/>
          <w:sz w:val="22"/>
          <w:szCs w:val="22"/>
        </w:rPr>
        <w:t xml:space="preserve">Complete mapping of document features to docx-js API calls.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TextRun({ bold: true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Character-level property</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Italic</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TextRun({ italics: true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Character-level property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Color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TextRun({ color: "2E75B6"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6-char hex, no # prefix</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Font</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TextRun({ font: "Arial"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 be installed on viewer’s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Size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TextRun({ size: 24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Half-points: 24 = 12pt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Heading</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heading: HeadingLevel.HEADING_1</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Paragraph-level; requires style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Alignment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alignment: AlignmentType.CENTER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LEFT, CENTER, RIGHT, JUSTIFIED</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Indent</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indent: { firstLine: 720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DXA; also left, right, hanging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Spacing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spacing: { before: 240, after: 120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DXA (20 DXA = 1pt)</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Bullet list</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numbering: { reference, level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Needs numbering config in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new Table({ width, columnWidths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DXA widths; dual width required</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Cell shade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shading: { fill, type: CLEAR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ShadingType.CLEAR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Cell merge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columnSpan: 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First cell only; width = sum</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Image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ImageRun({ type, data, ...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type required (png/jpg)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Page break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new PageBreak()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Must be inside Paragraph</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Section</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SectionType.NEXT_PAGE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Enables layout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Landscape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PageOrientation.LANDSCAPE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Pass portrait dimensions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Columns</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column: { count: 2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Section-level property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Header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headers: { default: Header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Per-section; first/odd/even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Footer</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footers: { default: Footer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PageNumber.CURRENT/TOTAL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new TableOfContents(...)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Needs HeadingLevel styles</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Hyperlink</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ExternalHyperlink({ link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style: "Hyperlink" on TextRun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Bookmark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new Bookmark({ id, children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For internal navigation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Footnote</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FootnoteReferenceRun(id)</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Defined in Document constructor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Tab stop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tabStops: [{ type, position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RIGHT + MAX for right-align</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Dot leader</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PositionalTabLeader.DOT</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TOC-style dotted 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Border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border: { bottom: { style, size }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 paragraph or cell</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Shading</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r>
              <w:rPr>
                <w:rFonts w:ascii="Courier New" w:cs="Courier New" w:eastAsia="Courier New" w:hAnsi="Courier New"/>
                <w:color w:val="333333"/>
                <w:sz w:val="17"/>
                <w:szCs w:val="17"/>
              </w:rPr>
              <w:t xml:space="preserve">shading: { fill, type: CLEAR }</w:t>
            </w:r>
          </w:p>
        </w:tc>
        <w:tc>
          <w:tcPr>
            <w:tcW w:type="dxa" w:w="3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Paragraph or cell background</w:t>
            </w:r>
          </w:p>
        </w:tc>
      </w:tr>
    </w:tbl>
    <w:p>
      <w:pPr>
        <w:spacing w:after="200"/>
        <w:jc w:val="center"/>
      </w:pPr>
      <w:r>
        <w:rPr>
          <w:rFonts w:ascii="Arial" w:cs="Arial" w:eastAsia="Arial" w:hAnsi="Arial"/>
          <w:i/>
          <w:iCs/>
          <w:color w:val="666666"/>
          <w:sz w:val="18"/>
          <w:szCs w:val="18"/>
        </w:rPr>
        <w:t xml:space="preserve">Table 6 – Complete API Quick Reference</w:t>
      </w:r>
    </w:p>
    <w:p>
      <w:pPr>
        <w:spacing w:after="200"/>
      </w:pPr>
    </w:p>
    <w:p>
      <w:pPr>
        <w:pBdr>
          <w:bottom w:val="single" w:color="D5E8F0" w:sz="6" w:space="4"/>
        </w:pBdr>
        <w:spacing w:after="200" w:before="200"/>
      </w:pPr>
    </w:p>
    <w:p>
      <w:pPr>
        <w:spacing w:before="200"/>
        <w:jc w:val="center"/>
      </w:pPr>
      <w:r>
        <w:rPr>
          <w:rFonts w:ascii="Arial" w:cs="Arial" w:eastAsia="Arial" w:hAnsi="Arial"/>
          <w:b/>
          <w:bCs/>
          <w:color w:val="2E75B6"/>
          <w:sz w:val="24"/>
          <w:szCs w:val="24"/>
        </w:rPr>
        <w:t xml:space="preserve">End of Document</w:t>
      </w:r>
    </w:p>
    <w:p>
      <w:pPr>
        <w:spacing w:after="200"/>
        <w:jc w:val="center"/>
      </w:pPr>
      <w:r>
        <w:rPr>
          <w:rFonts w:ascii="Arial" w:cs="Arial" w:eastAsia="Arial" w:hAnsi="Arial"/>
          <w:color w:val="666666"/>
          <w:sz w:val="18"/>
          <w:szCs w:val="18"/>
        </w:rPr>
        <w:t xml:space="preserve">Generated by Claude · Anthropic · May 2026</w:t>
      </w:r>
    </w:p>
    <w:sectPr>
      <w:headerReference w:type="default" r:id="rId13"/>
      <w:footerReference w:type="default" r:id="rId14"/>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pPr>
    <w:r>
      <w:rPr>
        <w:rFonts w:ascii="Arial" w:cs="Arial" w:eastAsia="Arial" w:hAnsi="Arial"/>
        <w:color w:val="666666"/>
        <w:sz w:val="16"/>
        <w:szCs w:val="16"/>
      </w:rPr>
      <w:t xml:space="preserve">Claude · Anthropic</w:t>
    </w:r>
    <w:r>
      <w:ptab w:alignment="right" w:relativeTo="margin" w:leader="none"/>
    </w: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pPr>
    <w:r>
      <w:rPr>
        <w:rFonts w:ascii="Arial" w:cs="Arial" w:eastAsia="Arial" w:hAnsi="Arial"/>
        <w:color w:val="666666"/>
        <w:sz w:val="16"/>
        <w:szCs w:val="16"/>
      </w:rPr>
      <w:t xml:space="preserve">Claude · Anthropic</w:t>
    </w:r>
    <w:r>
      <w:ptab w:alignment="right" w:relativeTo="margin" w:leader="none"/>
    </w: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pPr>
    <w:r>
      <w:rPr>
        <w:rFonts w:ascii="Arial" w:cs="Arial" w:eastAsia="Arial" w:hAnsi="Arial"/>
        <w:color w:val="666666"/>
        <w:sz w:val="16"/>
        <w:szCs w:val="16"/>
      </w:rPr>
      <w:t xml:space="preserve">Claude · Anthropic</w:t>
    </w:r>
    <w:r>
      <w:ptab w:alignment="right" w:relativeTo="margin" w:leader="none"/>
    </w: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pPr>
    <w:r>
      <w:rPr>
        <w:rFonts w:ascii="Arial" w:cs="Arial" w:eastAsia="Arial" w:hAnsi="Arial"/>
        <w:color w:val="666666"/>
        <w:sz w:val="16"/>
        <w:szCs w:val="16"/>
      </w:rPr>
      <w:t xml:space="preserve">Claude · Anthropic</w:t>
    </w:r>
    <w:r>
      <w:ptab w:alignment="right" w:relativeTo="margin" w:leader="none"/>
    </w: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docx-js: https://github.com/dolanmiu/docx – TypeScript library for creating .docx files</w:t>
      </w:r>
    </w:p>
  </w:footnote>
  <w:footnote w:id="2">
    <w:p>
      <w:r>
        <w:rPr>
          <w:rStyle w:val="FootnoteReference"/>
        </w:rPr>
        <w:footnoteRef/>
      </w:r>
      <w:r>
        <w:rPr>
          <w:rFonts w:ascii="Arial" w:cs="Arial" w:eastAsia="Arial" w:hAnsi="Arial"/>
          <w:sz w:val="18"/>
          <w:szCs w:val="18"/>
        </w:rPr>
        <w:t xml:space="preserve">Node.js v18+ runtime required. Charts rendered via matplotlib (Python) pre-generation step.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DOCX Capabilities Showcase</w:t>
    </w:r>
    <w:r>
      <w:rPr>
        <w:rFonts w:ascii="Arial" w:cs="Arial" w:eastAsia="Arial" w:hAnsi="Arial"/>
        <w:color w:val="666666"/>
        <w:sz w:val="16"/>
        <w:szCs w:val="16"/>
      </w:rPr>
      <w:ptab w:alignment="right" w:relativeTo="margin" w:leader="none"/>
      <w:t xml:space="preserve">Design System Guide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DOCX Capabilities Showcase</w:t>
    </w:r>
    <w:r>
      <w:rPr>
        <w:rFonts w:ascii="Arial" w:cs="Arial" w:eastAsia="Arial" w:hAnsi="Arial"/>
        <w:color w:val="666666"/>
        <w:sz w:val="16"/>
        <w:szCs w:val="16"/>
      </w:rPr>
      <w:ptab w:alignment="right" w:relativeTo="margin" w:leader="none"/>
      <w:t xml:space="preserve">Design System Guide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DOCX Capabilities Showcase</w:t>
    </w:r>
    <w:r>
      <w:rPr>
        <w:rFonts w:ascii="Arial" w:cs="Arial" w:eastAsia="Arial" w:hAnsi="Arial"/>
        <w:color w:val="666666"/>
        <w:sz w:val="16"/>
        <w:szCs w:val="16"/>
      </w:rPr>
      <w:ptab w:alignment="right" w:relativeTo="margin" w:leader="none"/>
      <w:t xml:space="preserve">Design System Guide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2E75B6"/>
        <w:sz w:val="18"/>
        <w:szCs w:val="18"/>
      </w:rPr>
      <w:t xml:space="preserve">DOCX Capabilities Showcase</w:t>
    </w:r>
    <w:r>
      <w:rPr>
        <w:rFonts w:ascii="Arial" w:cs="Arial" w:eastAsia="Arial" w:hAnsi="Arial"/>
        <w:color w:val="666666"/>
        <w:sz w:val="16"/>
        <w:szCs w:val="16"/>
      </w:rPr>
      <w:ptab w:alignment="right" w:relativeTo="margin" w:leader="none"/>
      <w:t xml:space="preserve">Design System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f0mcpj14wgmqste_6khwm" Type="http://schemas.openxmlformats.org/officeDocument/2006/relationships/hyperlink" Target="https://docs.anthropic.com" TargetMode="External"/><Relationship Id="rId15" Type="http://schemas.openxmlformats.org/officeDocument/2006/relationships/image" Target="media/cf267c0b5540195bf01463dd2c8586bb7f4c9b5a.png"/><Relationship Id="rId16" Type="http://schemas.openxmlformats.org/officeDocument/2006/relationships/image" Target="media/366561c8241d05a379abe26d4df93178aa7c1d9e.png"/><Relationship Id="rId17" Type="http://schemas.openxmlformats.org/officeDocument/2006/relationships/image" Target="media/a8722f3cac8331be3e046fb1832c4a6a116bb1e6.png"/><Relationship Id="rId18" Type="http://schemas.openxmlformats.org/officeDocument/2006/relationships/image" Target="media/6ec607d61996d898fc4fbfac34d3ebde9a375670.png"/><Relationship Id="rId19" Type="http://schemas.openxmlformats.org/officeDocument/2006/relationships/image" Target="media/335eb0ad63d6b0d643bdfb1ac6fd506bbba13795.png"/><Relationship Id="rId20" Type="http://schemas.openxmlformats.org/officeDocument/2006/relationships/image" Target="media/07ea265d9d0efa95ade75558db446b7b5bdd7bff.png"/><Relationship Id="rId21" Type="http://schemas.openxmlformats.org/officeDocument/2006/relationships/image" Target="media/c7e89dccbe690b3badd154c434de671a2910217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Capabilities Showcase &amp; Design System Guide</dc:title>
  <dc:creator>Claude (Anthropic)</dc:creator>
  <dc:description>Comprehensive demonstration of docx-js formatting capabilities</dc:description>
  <cp:lastModifiedBy>Un-named</cp:lastModifiedBy>
  <cp:revision>1</cp:revision>
  <dcterms:created xsi:type="dcterms:W3CDTF">2026-05-07T07:40:04.788Z</dcterms:created>
  <dcterms:modified xsi:type="dcterms:W3CDTF">2026-05-07T07:40:04.788Z</dcterms:modified>
</cp:coreProperties>
</file>

<file path=docProps/custom.xml><?xml version="1.0" encoding="utf-8"?>
<Properties xmlns="http://schemas.openxmlformats.org/officeDocument/2006/custom-properties" xmlns:vt="http://schemas.openxmlformats.org/officeDocument/2006/docPropsVTypes"/>
</file>