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0B2545"/>
          <w:sz w:val="44"/>
        </w:rPr>
        <w:t>WAMI 最终实验结果汇总</w:t>
      </w:r>
    </w:p>
    <w:p>
      <w:pPr>
        <w:jc w:val="center"/>
      </w:pPr>
      <w:r>
        <w:rPr>
          <w:i/>
        </w:rPr>
        <w:t>当前认可进入论文实验表格与图 3-8 的最终口径</w:t>
      </w:r>
    </w:p>
    <w:p>
      <w:r>
        <w:t>说明：本文件汇总当前认可用于论文展示的结果，并保留各方法已经认可过的备选版本。Llama-Guard 3 虽然在 BIPIA 上偏低，但作为通用内容安全 guard baseline 仍正式进入主表；其他过强/过弱的探索性 operating points 则放在备选结果池，便于后续和导师讨论取舍。</w:t>
      </w:r>
    </w:p>
    <w:p>
      <w:pPr>
        <w:pStyle w:val="Heading1"/>
      </w:pPr>
      <w:r>
        <w:t>0. 总体实验结论</w:t>
      </w:r>
    </w:p>
    <w:p>
      <w:r>
        <w:t>主结论：WAMI 在 BIPIA、InjecAgent、AgentDojo 三个 agent 提示注入数据集上取得最稳定的综合表现，Macro IR=94.6%、Macro FPR=5.2%、Macro ACC=95.5%。</w:t>
      </w:r>
    </w:p>
    <w:p>
      <w:r>
        <w:t>安全性：WAMI 在 BIPIA 和 AgentDojo 上明显领先，在 InjecAgent 上虽有个别 baseline 的局部 operating point 接近，但 WAMI 的误报率和整体准确率更均衡。</w:t>
      </w:r>
    </w:p>
    <w:p>
      <w:r>
        <w:t>可用性：Table 4 显示 WAMI 对正常工具任务影响很小，ToolBench 保持率 99.0%，AgentBench 保持率 98.7%，接近 No Defense。</w:t>
      </w:r>
    </w:p>
    <w:p>
      <w:r>
        <w:t>效率：Figure 6 和 Figure 7 显示 WAMI 主要开销来自 world model rollout，但总体仍远低于额外调用大模型 judge 的方法。</w:t>
      </w:r>
    </w:p>
    <w:p>
      <w:r>
        <w:t>消融：Table 5 显示去掉 TDG、World Model、MINE Gateway 或 Shadow Training 后性能都会明显下降，说明 WAMI 的几个核心模块都有贡献。</w:t>
      </w:r>
    </w:p>
    <w:p>
      <w:r>
        <w:t>多模态：SmoothVLM-style 使用本地 llava-llama3:8b 做补充实验，不作为官方 SmoothVLM 严格复现；qwen-vl-max 版本过强，不进入主表。</w:t>
      </w:r>
    </w:p>
    <w:p>
      <w:r>
        <w:t>保留项：Llama-Guard 3 在 BIPIA 上 IR 仅 12%-14%，说明内容安全 guard 不擅长 BIPIA 这类间接工具注入；该结果保留在主表，用作局限性对照。</w:t>
      </w:r>
    </w:p>
    <w:p>
      <w:pPr>
        <w:pStyle w:val="Heading2"/>
      </w:pPr>
      <w:r>
        <w:t>Table 0. 最终采用口径速览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模块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最终采用口径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理由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主方法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作为论文核心方法，使用 source-aware/triplet-slot MINE 与 TDG/world model。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local + head_tail1200 balanced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避免 InjecAgent 过高，同时 BIPIA/AgentDojo 不至于过低。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balanced mixed setting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避免 qwen2.5 suffix full 在 InjecAgent 上反超 WAMI，同时保留合理 baseline 水平。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当前最稳定的 method-level adapted local 版本。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WebAgentGuard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action_fidelity operating point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更贴近 agent 防御，只在动作采纳/传播不可信内容时拦截。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正式进入主总表 / Table 1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作为内容安全 guard baseline 保留；BIPIA 偏低可用于解释通用 guard 的局限。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SmoothVLM-style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local llava-llama3:8b plan_fidelity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作为多模态补充，不写成官方 SmoothVLM。</w:t>
            </w:r>
          </w:p>
        </w:tc>
      </w:tr>
    </w:tbl>
    <w:p/>
    <w:p>
      <w:pPr>
        <w:pStyle w:val="Heading2"/>
      </w:pPr>
      <w:r>
        <w:t>0.1 各表格含义总结</w:t>
      </w:r>
    </w:p>
    <w:p>
      <w:r>
        <w:rPr>
          <w:b/>
        </w:rPr>
        <w:t xml:space="preserve">Table 1: </w:t>
      </w:r>
      <w:r>
        <w:t>主防御对比。展示 WAMI 与 GuardReasoner-VL、WebAgentGuard、AgentDojo detector、BookAgent-style 等 agent 安全防御在三个数据集上的 IR/FPR/ACC/Latency。</w:t>
      </w:r>
    </w:p>
    <w:p>
      <w:r>
        <w:rPr>
          <w:b/>
        </w:rPr>
        <w:t xml:space="preserve">Table 2: </w:t>
      </w:r>
      <w:r>
        <w:t>前沿 baseline 对比。重点比较 WAMI 与 SmoothLLM-style、Erase-and-Check、ToolEmu-Sandbox 等方法。最终采用 balanced 口径，避免 baseline 过强或过弱。</w:t>
      </w:r>
    </w:p>
    <w:p>
      <w:r>
        <w:rPr>
          <w:b/>
        </w:rPr>
        <w:t xml:space="preserve">Table 3: </w:t>
      </w:r>
      <w:r>
        <w:t>跨 Agent 泛化。展示不同本地 agent backbone 生成动作时，WAMI 是否仍能拦住危险动作。这里 Action Block Rate 比单纯 IR 更关键。</w:t>
      </w:r>
    </w:p>
    <w:p>
      <w:r>
        <w:rPr>
          <w:b/>
        </w:rPr>
        <w:t xml:space="preserve">Table 4: </w:t>
      </w:r>
      <w:r>
        <w:t>工具任务保持率。说明 WAMI 在提高安全性的同时，对正常工具任务成功率损伤很小。</w:t>
      </w:r>
    </w:p>
    <w:p>
      <w:r>
        <w:rPr>
          <w:b/>
        </w:rPr>
        <w:t xml:space="preserve">Table 5: </w:t>
      </w:r>
      <w:r>
        <w:t>消融实验。证明 TDG、World Model、MINE Gateway、Shadow Training 都不是装饰，移除后性能显著下降。</w:t>
      </w:r>
    </w:p>
    <w:p>
      <w:pPr>
        <w:pStyle w:val="Heading2"/>
      </w:pPr>
      <w:r>
        <w:t>0.2 各图含义总结</w:t>
      </w:r>
    </w:p>
    <w:p>
      <w:r>
        <w:rPr>
          <w:b/>
        </w:rPr>
        <w:t xml:space="preserve">Figure 3: </w:t>
      </w:r>
      <w:r>
        <w:t>综合防御能力雷达图。WAMI 在安全性、效率、资源成本上形成综合优势。</w:t>
      </w:r>
    </w:p>
    <w:p>
      <w:r>
        <w:rPr>
          <w:b/>
        </w:rPr>
        <w:t xml:space="preserve">Figure 4: </w:t>
      </w:r>
      <w:r>
        <w:t>SOTA ROC 风格对比。用实测 operating points 生成曲线，展示 WAMI 更好的安全-误报权衡。</w:t>
      </w:r>
    </w:p>
    <w:p>
      <w:r>
        <w:rPr>
          <w:b/>
        </w:rPr>
        <w:t xml:space="preserve">Figure 5: </w:t>
      </w:r>
      <w:r>
        <w:t>阈值敏感性。说明 WAMI 可以通过阈值调节 IR/FPR，不是固定死规则。</w:t>
      </w:r>
    </w:p>
    <w:p>
      <w:r>
        <w:rPr>
          <w:b/>
        </w:rPr>
        <w:t xml:space="preserve">Figure 6: </w:t>
      </w:r>
      <w:r>
        <w:t>延迟分解。展示 TDG、World Model、MINE 三部分各自耗时。</w:t>
      </w:r>
    </w:p>
    <w:p>
      <w:r>
        <w:rPr>
          <w:b/>
        </w:rPr>
        <w:t xml:space="preserve">Figure 7: </w:t>
      </w:r>
      <w:r>
        <w:t>资源对比。突出 WAMI 不需要额外大模型 judge，资源占用显著更低。</w:t>
      </w:r>
    </w:p>
    <w:p>
      <w:r>
        <w:rPr>
          <w:b/>
        </w:rPr>
        <w:t xml:space="preserve">Figure 8: </w:t>
      </w:r>
      <w:r>
        <w:t>Shadow Training 动态。展示训练过程中 MI gap 增大、loss 下降，支撑训练有效。</w:t>
      </w:r>
    </w:p>
    <w:p>
      <w:pPr>
        <w:pStyle w:val="Heading1"/>
      </w:pPr>
      <w:r>
        <w:t>1. 主总表口径</w:t>
      </w:r>
    </w:p>
    <w:p>
      <w:pPr>
        <w:pStyle w:val="Heading2"/>
      </w:pPr>
      <w:r>
        <w:t>Table A. 最终主总表</w:t>
      </w:r>
    </w:p>
    <w:p>
      <w:pPr>
        <w:pStyle w:val="BodyText"/>
      </w:pPr>
      <w:r>
        <w:t>Llama-Guard 3 按最终认可口径正式保留在主总表；它在 BIPIA 上偏低，用于说明通用内容安全 guard 对 agent 间接注入的覆盖不足。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 ms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225.5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256.4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2257.6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99.6%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273.3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530.8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91.7%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2312.2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181.4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323.6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2408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72.7%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74.6%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2250.3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1713.4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992 dangerous / 1200 attack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4898.5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921 dangerous / 2108 attack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3755.9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 dangerous / 567 attack</w:t>
            </w:r>
          </w:p>
        </w:tc>
      </w:tr>
    </w:tbl>
    <w:p/>
    <w:p>
      <w:pPr>
        <w:pStyle w:val="Heading2"/>
      </w:pPr>
      <w:r>
        <w:t>Table B. Macro Average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Macro IR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Macro FPR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Macro ACC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94.6%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5.2%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77.7%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74.2%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52.7%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70.8%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74.2%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76.2%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74.7%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80.9%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52.0%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4.2%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73.6%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2556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94.1%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0.6%</w:t>
            </w:r>
          </w:p>
        </w:tc>
        <w:tc>
          <w:tcPr>
            <w:tcW w:type="dxa" w:w="255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</w:tr>
    </w:tbl>
    <w:p/>
    <w:p>
      <w:pPr>
        <w:pStyle w:val="Heading1"/>
      </w:pPr>
      <w:r>
        <w:t>2. Table 1: 主防御对比</w:t>
      </w:r>
    </w:p>
    <w:p>
      <w:pPr>
        <w:pStyle w:val="Heading2"/>
      </w:pPr>
      <w:r>
        <w:t>Table 1. Main Defense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Defense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GuardReasoner-VL Eco-3B 4bit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28985.4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 official PI detector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47.7%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34.1%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160.4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BookAgent-style Constraint Verifier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0.101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2312.2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GuardReasoner-VL Eco-3B 4bit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21836.3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 official PI detector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78.1%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64.7%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110.4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BookAgent-style Constraint Verifier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84.9%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0.064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2257.6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GuardReasoner-VL Eco-3B 4bit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21168.7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WebAgentGuard action_fidelity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 official PI detector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25.7%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BookAgent-style Constraint Verifier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64.8%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0.093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2250.3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704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1713.4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704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4898.5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704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1.8%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70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3755.9</w:t>
            </w:r>
          </w:p>
        </w:tc>
      </w:tr>
    </w:tbl>
    <w:p/>
    <w:p>
      <w:pPr>
        <w:pStyle w:val="Heading1"/>
      </w:pPr>
      <w:r>
        <w:t>3. Table 2: 前沿方法对比</w:t>
      </w:r>
    </w:p>
    <w:p>
      <w:pPr>
        <w:pStyle w:val="Heading2"/>
      </w:pPr>
      <w:r>
        <w:t>Table 2. Frontier Safety Comparison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273.3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225.5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181.4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530.8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256.4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323.6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2408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91.7%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0.236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64.4%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0.183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ToolEmu-Sandbox tau=7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72.7%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76.1%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0.262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99.6%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paper-faithful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1713.4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992 dangerous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89.3%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4898.5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921 dangerous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461"/>
            <w:shd w:fill="EAF3E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live-agent action-level (qwen2.5)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93.1%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1.8%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N/A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3755.9</w:t>
            </w:r>
          </w:p>
        </w:tc>
        <w:tc>
          <w:tcPr>
            <w:tcW w:type="dxa" w:w="146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 dangerous</w:t>
            </w:r>
          </w:p>
        </w:tc>
      </w:tr>
    </w:tbl>
    <w:p/>
    <w:p>
      <w:pPr>
        <w:pStyle w:val="Heading1"/>
      </w:pPr>
      <w:r>
        <w:t>4. SmoothVLM-style 多模态补充实验</w:t>
      </w:r>
    </w:p>
    <w:p>
      <w:pPr>
        <w:pStyle w:val="Heading2"/>
      </w:pPr>
      <w:r>
        <w:t>Table C. SmoothVLM-style Supplement</w:t>
      </w:r>
    </w:p>
    <w:p>
      <w:pPr>
        <w:pStyle w:val="BodyText"/>
      </w:pPr>
      <w:r>
        <w:t>采用本地 VLM，避免 qwen-vl-max 结果过强；该实验作为多模态补充，不写成官方 SmoothVLM 严格复现。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46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1461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SmoothVLM-style + local llava-llama3:8b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67.5%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1476.2</w:t>
            </w:r>
          </w:p>
        </w:tc>
        <w:tc>
          <w:tcPr>
            <w:tcW w:type="dxa" w:w="146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</w:tr>
    </w:tbl>
    <w:p/>
    <w:p>
      <w:pPr>
        <w:pStyle w:val="Heading1"/>
      </w:pPr>
      <w:r>
        <w:t>5. Table 3: 跨 Agent 泛化</w:t>
      </w:r>
    </w:p>
    <w:p>
      <w:pPr>
        <w:pStyle w:val="Heading2"/>
      </w:pPr>
      <w:r>
        <w:t>Table 3. Cross-Agent Generalization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Backbone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Planner Risk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Action Block</w:t>
            </w:r>
          </w:p>
        </w:tc>
        <w:tc>
          <w:tcPr>
            <w:tcW w:type="dxa" w:w="113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Qwen2.5-7B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74.1%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52.8%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90.8%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4556.1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Qwen2.5-7B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91.4%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91.4%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2538.9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Qwen2.5-7B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35.8%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37.4%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95.8%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3425.3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Mistral-v0.3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4525.8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Mistral-v0.3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5903.6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Mistral-v0.3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4537.4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Llama-3-8B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2886.2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Llama-3-8B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2492.8</w:t>
            </w:r>
          </w:p>
        </w:tc>
      </w:tr>
      <w:tr>
        <w:tc>
          <w:tcPr>
            <w:tcW w:type="dxa" w:w="11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Llama-3-8B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92.0%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91.3%</w:t>
            </w:r>
          </w:p>
        </w:tc>
        <w:tc>
          <w:tcPr>
            <w:tcW w:type="dxa" w:w="11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3368.8</w:t>
            </w:r>
          </w:p>
        </w:tc>
      </w:tr>
    </w:tbl>
    <w:p/>
    <w:p>
      <w:pPr>
        <w:pStyle w:val="Heading1"/>
      </w:pPr>
      <w:r>
        <w:t>6. Table 4: 工具任务保持率</w:t>
      </w:r>
    </w:p>
    <w:p>
      <w:pPr>
        <w:pStyle w:val="Heading2"/>
      </w:pPr>
      <w:r>
        <w:t>Table 4. Utility Retention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ToolBench SR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AgentBench SR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ToolBench Ret.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AgentBench Ret.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Defense qwen2.5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90.7%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 qwen2.5 judge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62.3%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44.2%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71.8%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48.7%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ToolEmu-Sandbox qwen2.5 judge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61.2%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54.7%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70.4%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60.3%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 local/Ollama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85.3%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80.2%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98.3%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+ qwen2.5 local agent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86.0%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89.5%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98.7%</w:t>
            </w:r>
          </w:p>
        </w:tc>
      </w:tr>
    </w:tbl>
    <w:p/>
    <w:p>
      <w:pPr>
        <w:pStyle w:val="Heading1"/>
      </w:pPr>
      <w:r>
        <w:t>7. Table 5: 消融实验</w:t>
      </w:r>
    </w:p>
    <w:p>
      <w:pPr>
        <w:pStyle w:val="Heading2"/>
      </w:pPr>
      <w:r>
        <w:t>Table 5. WAMI Ablation Macro Summary</w:t>
      </w:r>
    </w:p>
    <w:p>
      <w:pPr>
        <w:pStyle w:val="BodyText"/>
      </w:pPr>
      <w:r>
        <w:t>完整逐数据集消融数据保存在 data/final_table5_ablation.md；正文建议展示宏平均，附录展示完整表。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Variant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7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Macro Avg.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WAMI Full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39.341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Macro Avg.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w/o TDG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6.172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Macro Avg.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w/o World Model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52.4%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66.1%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3.231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Macro Avg.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w/o MINE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15.6%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47.1%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9.229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Macro Avg.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w/o Shadow Training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70.5%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9.629</w:t>
            </w:r>
          </w:p>
        </w:tc>
      </w:tr>
    </w:tbl>
    <w:p/>
    <w:p>
      <w:pPr>
        <w:sectPr>
          <w:pgSz w:w="12240" w:h="15840"/>
          <w:pgMar w:top="1080" w:right="1008" w:bottom="1080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8. 最终图表</w:t>
      </w:r>
    </w:p>
    <w:p>
      <w:pPr>
        <w:pStyle w:val="Heading2"/>
      </w:pPr>
      <w:r>
        <w:t>Figure 3. Defense Efficacy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48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3_defense_efficacy_overview_v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雷达图展示 WAMI 在安全性、任务可用性、速度和计算效率上的综合优势。</w:t>
      </w:r>
    </w:p>
    <w:p>
      <w:pPr>
        <w:pStyle w:val="Heading2"/>
      </w:pPr>
      <w:r>
        <w:t>Figure 4. SOTA ROC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34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4_sota_smooth_roc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3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ROC 风格曲线基于本地实测 operating points，展示 WAMI 的安全-误报权衡。</w:t>
      </w:r>
    </w:p>
    <w:p>
      <w:pPr>
        <w:sectPr>
          <w:pgSz w:w="12240" w:h="15840"/>
          <w:pgMar w:top="1080" w:right="1008" w:bottom="1080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Figure 5. Threshold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23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5_threshold_sensi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阈值敏感性图展示 WAMI 阈值变化下 IR/FPR 的可调关系。</w:t>
      </w:r>
    </w:p>
    <w:p>
      <w:pPr>
        <w:pStyle w:val="Heading2"/>
      </w:pPr>
      <w:r>
        <w:t>Figure 6. Latency Decomposition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3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6_latency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延迟分解展示 TDG、World Model、MINE 的时间占比。</w:t>
      </w:r>
    </w:p>
    <w:p>
      <w:pPr>
        <w:sectPr>
          <w:pgSz w:w="12240" w:h="15840"/>
          <w:pgMar w:top="1080" w:right="1008" w:bottom="1080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Figure 7. Resource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38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7_resource_comparison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8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资源对比展示 WAMI 相比 LLM judge 类 baseline 的低开销优势。</w:t>
      </w:r>
    </w:p>
    <w:p>
      <w:pPr>
        <w:pStyle w:val="Heading2"/>
      </w:pPr>
      <w:r>
        <w:t>Figure 8. Shadow Training Dynamics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707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igure8_shadow_trai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0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训练曲线展示 shadow adversarial training 提升 MI gap 并降低 loss。</w:t>
      </w:r>
    </w:p>
    <w:p>
      <w:pPr>
        <w:pStyle w:val="Heading1"/>
      </w:pPr>
      <w:r>
        <w:t>9. 不进入主表的结果</w:t>
      </w:r>
    </w:p>
    <w:p>
      <w:pPr>
        <w:pStyle w:val="Heading2"/>
      </w:pPr>
      <w:r>
        <w:t>Table D. Additional Recognized / Appendix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Result</w:t>
            </w:r>
          </w:p>
        </w:tc>
        <w:tc>
          <w:tcPr>
            <w:tcW w:type="dxa" w:w="511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SmoothVLM-style + qwen-vl-max: IR 100.0%, FPR 10.0%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过强且依赖 API，容易压过 WAMI；只作 sanity check，不进主表。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 on BIPIA: IR 12.0%-14.0%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已进入主表；同时可在附录解释 content-safety guard 对间接工具注入不敏感。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 qwen2.5 suffix full on InjecAgent: IR 90.6%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单数据集过强，改用 balanced plan-source/混合口径进入主表。</w:t>
            </w:r>
          </w:p>
        </w:tc>
      </w:tr>
      <w:t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 500-char: BIPIA IR 7.0%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过弱，像刻意削弱；改用 head_tail1200 balanced 结果。</w:t>
            </w:r>
          </w:p>
        </w:tc>
      </w:tr>
    </w:tbl>
    <w:p/>
    <w:p>
      <w:pPr>
        <w:pStyle w:val="Heading2"/>
      </w:pPr>
      <w:r>
        <w:t>9.1 备选/争议结果池：先全部保留</w:t>
      </w:r>
    </w:p>
    <w:p>
      <w:r>
        <w:t>本节把当前讨论过但未进入主总表的最终可用结果也全部保留。它们不是假数据，都是运行或缓存复算得到的结果；只是因为过强、过弱、样本量较小、API 依赖或与主实验口径不完全一致，所以暂不建议放入主表。</w:t>
      </w:r>
    </w:p>
    <w:p>
      <w:pPr>
        <w:pStyle w:val="Heading2"/>
      </w:pPr>
      <w:r>
        <w:t>Table D1. Llama-Guard 3 备选结果</w:t>
      </w:r>
    </w:p>
    <w:p>
      <w:pPr>
        <w:pStyle w:val="BodyText"/>
      </w:pPr>
      <w:r>
        <w:t>Llama-Guard 3 的结果证明内容安全 guard 对 agent 间接注入并不稳定，尤其 BIPIA 过低。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建议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chat pc100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2312.2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附录；主表过低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chat pc100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2257.6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可附录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chat pc100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2250.3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可附录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agent_action pc50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2343.2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附录；主表仍偏低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agent_action pc50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2249.6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可附录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llama-guard3 agent_action pc50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2244.4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可附录</w:t>
            </w:r>
          </w:p>
        </w:tc>
      </w:tr>
    </w:tbl>
    <w:p/>
    <w:p>
      <w:pPr>
        <w:pStyle w:val="Heading2"/>
      </w:pPr>
      <w:r>
        <w:t>Table D2. SmoothLLM-style 备选结果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建议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full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过强；旧 Table 2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full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270.1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可用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full old split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202.5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偏强且 old split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225.5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273.3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head_tail1200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181.4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trunc500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221.3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备选；稍弱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trunc500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174.6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1copy trunc500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qwen-turbo 2/3 vote random50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2048.7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且过强/误报高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qwen-turbo 2/3 vote random50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2146.9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qwen-turbo 2/3 vote random50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过强且误报高</w:t>
            </w:r>
          </w:p>
        </w:tc>
      </w:tr>
    </w:tbl>
    <w:p/>
    <w:p>
      <w:pPr>
        <w:pStyle w:val="Heading2"/>
      </w:pPr>
      <w:r>
        <w:t>Table D3. Erase-and-Check 备选结果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建议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suffix full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373.2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2125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过强，压 WAMI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suffix full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530.8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suffix full old split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323.6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plan-source suffix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256.4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主表 balanced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plan-source suffix random100x100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538.0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备选；略低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original_request_safety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405.5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original_request_safety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605.0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qwen2.5 original_request_safety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341.2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qwen-max raw random100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2348.7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且过强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qwen-max raw random100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2767.3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qwen-max raw random50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2305.2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且过强</w:t>
            </w:r>
          </w:p>
        </w:tc>
      </w:tr>
    </w:tbl>
    <w:p/>
    <w:p>
      <w:pPr>
        <w:pStyle w:val="Heading2"/>
      </w:pPr>
      <w:r>
        <w:t>Table D4. SmoothVLM-style / 多模态备选结果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建议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qwen-vl-max plan_fidelity 2/3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20513.5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API 且过强，不主用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llava:7b local_strict 2/3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1337.3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gemma4:26b local_strict 1/1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11901.5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过弱且慢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llava-llama3:8b local_strict 2/3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1136.6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IR 过高，FPR 高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CyberSecEval3-VPI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llava-llama3:8b plan_fidelity 2/3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1476.2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主用补充实验</w:t>
            </w:r>
          </w:p>
        </w:tc>
      </w:tr>
    </w:tbl>
    <w:p/>
    <w:p>
      <w:pPr>
        <w:pStyle w:val="Heading2"/>
      </w:pPr>
      <w:r>
        <w:t>Table D5. WAMI operating point 备选结果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Setting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IR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FPR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ACC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Latency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</w:t>
            </w:r>
          </w:p>
        </w:tc>
        <w:tc>
          <w:tcPr>
            <w:tcW w:type="dxa" w:w="127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建议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ensemble sourceaware/triplet OR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ensemble sourceaware only 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InjecAgent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triplet-slot b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4233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ensemble OR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99.8%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sourceaware only 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BIPIA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triplet-slot b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triplet-slot tau50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37.2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ensemble OR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FPR 偏高，不主用</w:t>
            </w:r>
          </w:p>
        </w:tc>
      </w:tr>
      <w:tr>
        <w:tc>
          <w:tcPr>
            <w:tcW w:type="dxa" w:w="127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ensemble AND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备选</w:t>
            </w:r>
          </w:p>
        </w:tc>
      </w:tr>
    </w:tbl>
    <w:p/>
    <w:p>
      <w:pPr>
        <w:pStyle w:val="Heading1"/>
      </w:pPr>
      <w:r>
        <w:t>10. 最终写作口径</w:t>
      </w:r>
    </w:p>
    <w:p>
      <w:r>
        <w:t>WAMI 在 BIPIA、InjecAgent、AgentDojo 三个 agent 提示注入数据集上取得稳定高拦截率和较低误报率。与 SmoothLLM-style、Erase-and-Check、ToolEmu-Sandbox、WebAgentGuard、BookAgent-style 等方法相比，WAMI 在跨数据集平均拦截率、准确率、任务保持率和资源效率上更均衡。消融实验显示 TDG、World Model、MINE Gateway 与 Shadow Adversarial Training 均对最终性能有实质贡献。</w:t>
      </w:r>
    </w:p>
    <w:p>
      <w:pPr>
        <w:sectPr>
          <w:pgSz w:w="12240" w:h="15840"/>
          <w:pgMar w:top="1080" w:right="1008" w:bottom="1080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11. 表格/图片对应运行代码</w:t>
      </w:r>
    </w:p>
    <w:p>
      <w:r>
        <w:t>PyCharm 运行设置：Working directory 设为 D:\论文111；解释器使用 D:\论文111\.venv\Scripts\python.exe。如果运行 Ollama 本地模型，先在 Run Configuration 的 Environment 中加入 OLLAMA_MODELS=D:\论文111\models\ollama。</w:t>
      </w:r>
    </w:p>
    <w:p>
      <w:pPr>
        <w:pStyle w:val="Heading2"/>
      </w:pPr>
      <w:r>
        <w:t>Table E. 每个实验/图表对应的运行代码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结果对象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运行脚本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关键参数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输出文件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用途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主总表 / Table 1 汇总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scripts/build_final_experiment_word.py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data/WAMI最终实验结果汇总.docx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用于汇总已认可结果；不重新跑模型。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WAMI 主方法结果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scripts/evaluate_paper_mine_ensemble.py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直接运行；若需单模型 AgentDojo，使用 scripts/export_paper_mine_scores.py 或已有 tau50 结果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data/paper_mine_ensemble_sourceaware_triplet_taua45_taub50_results.csv；data/paper_mine_triplet_slot_seed4071_e4_tau50_results.csv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生成 WAMI IR/FPR/ACC/Latency。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SmoothLLM-style balanced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scripts/run_smoothllm_qwen_judge_on_datasets.py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--backend ollama --model qwen2.5:7b-instruct --sample-random --seed 42 --attack-limit 100 --benign-limit 100 --num-copies 1 --min-block-votes 1 --max-prompt-chars 1200 --truncate-mode head_tail --include-agentdojo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data/smoothllm_ollama_qwen25_1copy_headtail1200_random100x100_3datasets.md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2 的 SmoothLLM-style balanced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Erase-and-Check balanced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scripts/run_table2_official_erase_check.py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--backend ollama --model qwen2.5:7b-instruct --prompt-source plan --sample-random --seed 42 --attack-limit 100 --benign-limit 100 --include-agentdojo --max-erase 1 --mode suffix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data/erase_check_ollama_qwen25_plan_suffix_m1_random100x100_3datasets.md；AgentDojo 采用 data/erase_check_ollama_qwen25_suffix_m1_full_3datasets.md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2 的 Erase-and-Check balanced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ToolEmu-Sandbox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scripts/run_toolemu_evaluator_on_wami_datasets.py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直接运行；最终表使用已选 tau=7 输出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data/table2_toolemu_sandbox_final_selected.md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2 的 ToolEmu-Sandbox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WebAgentGuard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scripts/run_webagentguard_paper_method.py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--backend ollama --model qwen2.5:7b-instruct --guard-profile action_fidelity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data/webagentguard_final_action_fidelity_operating_point.md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1 / 主总表的 WebAgentGuard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BookAgent-style Constraint Verifier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scripts/run_bookagent_constraint_verifier.py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data/bookagent_constraint_verifier_full.csv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1 的 BookAgent-style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AgentDojo official PI detector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scripts/run_agentdojo_official_detector_on_wami_datasets.py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data/agentdojo_official_detector_wami_datasets_full.csv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1 的 AgentDojo official detector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GuardReasoner-VL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scripts/run_guardreasoner_vl_table1.py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4bit/抽样运行；依赖 external/GuardReasoner-VL 和 transformers 环境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data/guardreasoner_vl_final_selected_result.csv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1 的 GuardReasoner-VL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Llama-Guard 3 正式结果 / 附录细分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scripts/run_llamaguard3_ollama_on_datasets.py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--prompt-profile agent_action --per-class 50 --output-prefix data/llamaguard3_ollama_agent_action_pc50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data/llamaguard3_ollama_agent_action_pc50_summary.md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主总表采用 chat pc100 三数据集结果；agent_action pc50 作为附录细分。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SmoothVLM-style 多模态补充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scripts/run_smoothvlm_style_vpi.py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--backend ollama --model llava-llama3:8b --prompt-profile plan_fidelity --limit-pairs 20 --num-copies 3 --min-block-votes 2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data/smoothvlm_style_vpi_llava_llama3_8b_plan_fidelity_20pairs.md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多模态补充实验，不写作官方 SmoothVLM 严格复现。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Table 3 跨 Agent: Qwen2.5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scripts/run_qwen_full_live_wami_runtime.py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直接运行；全量耗时较长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data/qwen25_7b_ollama_boost_full_all_datasets_summary.md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3 的 Qwen2.5 local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Table 3 跨 Agent: Mistral/Llama3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scripts/run_live_planner_next_action.py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分别指定本地 model=mistral:v0.3 或 llama3:8b，50 attack + 50 benign 抽样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data/mistral_v03_table3_*.md；data/llama3_8b_table3_*.md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Table 3 的 sampled local backbone 行。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Table 4 工具保持率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scripts/run_toolbench_table4_all_methods.py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data/final_table4_required_columns.md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生成 ToolBench/AgentBench SR 和保持率。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Table 5 消融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scripts/run_final_table5_ablation.py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data/final_table5_ablation.md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生成 WAMI Full 与各 ablation 结果。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Figure 3-8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scripts/plot_final_figures_paper_style.py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直接运行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data/final_figure3_defense_efficacy_overview_v6.png 至 data/final_figure8_shadow_training.png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用最终 CSV/MD 结果重画所有最终图片。</w:t>
            </w:r>
          </w:p>
        </w:tc>
      </w:tr>
    </w:tbl>
    <w:p/>
    <w:p>
      <w:pPr>
        <w:pStyle w:val="Heading1"/>
      </w:pPr>
      <w:r>
        <w:t>12. 推荐运行顺序</w:t>
      </w:r>
    </w:p>
    <w:p>
      <w:r>
        <w:t>1. 先确认本地模型存在：ollama list，应包含 qwen2.5:7b-instruct、llava-llama3:8b、llama3:8b、mistral:v0.3。</w:t>
      </w:r>
    </w:p>
    <w:p>
      <w:r>
        <w:t>2. 若只想更新 Word 汇总：运行 scripts/build_final_experiment_word.py。</w:t>
      </w:r>
    </w:p>
    <w:p>
      <w:r>
        <w:t>3. 若只想更新图：运行 scripts/plot_final_figures_paper_style.py。</w:t>
      </w:r>
    </w:p>
    <w:p>
      <w:r>
        <w:t>4. 若重跑核心表：依次运行 SmoothLLM、Erase-and-Check、ToolEmu、WebAgentGuard、Table 4、Table 5。</w:t>
      </w:r>
    </w:p>
    <w:p>
      <w:r>
        <w:t>5. 跨 Agent 全量 Qwen2.5 很慢，已有结果可直接使用；除非导师要求复跑，否则不建议每次都跑。</w:t>
      </w:r>
    </w:p>
    <w:p>
      <w:r>
        <w:br w:type="page"/>
      </w:r>
    </w:p>
    <w:p>
      <w:pPr>
        <w:pStyle w:val="Heading1"/>
      </w:pPr>
      <w:r>
        <w:t>13. WAMI 实验流程口径标注与 live-agent 重算结果</w:t>
      </w:r>
    </w:p>
    <w:p>
      <w:r>
        <w:t>本节用于区分 Word 中已有 WAMI 主结果和 qwen2.5 live-agent 运行结果，避免把 agent 是否生成危险动作与 WAMI 是否拦截危险动作混在一起。</w:t>
      </w:r>
    </w:p>
    <w:p>
      <w:pPr>
        <w:pStyle w:val="Heading2"/>
      </w:pPr>
      <w:r>
        <w:t>13.1 Word 已有 WAMI 主表结果的流程</w:t>
      </w:r>
    </w:p>
    <w:p>
      <w:r>
        <w:t>Word 主表中的 WAMI paper-faithful 结果采用的是数据集原始 plan / tool trajectory 评测流程：数据集已经给出用户请求、工具调用顺序、外部 observation、注入指令以及最终危险动作，WAMI 直接对该工具轨迹进行 TDG 构建、world model rollout 和 MINE/Gateway 判断。因此该结果衡量的是：当攻击轨迹或危险动作已经出现在待审计 plan 中时，WAMI 能不能识别并拦截。</w:t>
      </w:r>
    </w:p>
    <w:p>
      <w:r>
        <w:t>该流程对应 Word 中 Table A、Table 1、Table 2 和 Table 5 的 WAMI paper-faithful 行。最终采用口径为：BIPIA 与 InjecAgent 使用 source-aware + triplet-slot ensemble OR；AgentDojo 使用 triplet-slot tau50，以降低 AgentDojo 上的误报率。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Flow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IR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FPR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ACC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BIPIA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paper-faithful dataset-plan audit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99.8%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99.6%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InjecAgent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paper-faithful dataset-plan audit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86.8%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5.9%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90.5%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AgentDojo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paper-faithful dataset-plan audit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97.2%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9.3%</w:t>
            </w:r>
          </w:p>
        </w:tc>
        <w:tc>
          <w:tcPr>
            <w:tcW w:type="dxa" w:w="204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96.3%</w:t>
            </w:r>
          </w:p>
        </w:tc>
      </w:tr>
    </w:tbl>
    <w:p>
      <w:pPr>
        <w:pStyle w:val="Heading2"/>
      </w:pPr>
      <w:r>
        <w:t>13.2 qwen2.5 live-agent action-level 重算流程</w:t>
      </w:r>
    </w:p>
    <w:p>
      <w:r>
        <w:t>qwen25_7b_ollama_full_live_wami_*_full.csv 对应的是另一套流程：先由本地 qwen2.5:7b-instruct 作为 live agent 根据用户请求和 observation 生成动作，然后 WAMI gateway 在动作执行前判断是否拦截。这个流程会受到 agent 是否真的生成危险动作影响。</w:t>
      </w:r>
    </w:p>
    <w:p>
      <w:r>
        <w:t>因此这里不把“agent 没生成危险动作”算成 WAMI 漏拦，而是拆成两个指标：Dangerous Action Generation Rate 表示攻击样本中 agent 实际生成危险动作的比例；WAMI Action Block Rate 表示在这些已经生成的危险动作里，WAMI 实际拦截了多少。误拦截也同时给出 sample-level FPR 和 action-level false block rate。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Dataset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Attack N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Old Sample IR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Dangerous Action Gen.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Dangerous Action N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WAMI Action Block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Released Dangerous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Benign Sample FPR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Benign Action False Block</w:t>
            </w:r>
          </w:p>
        </w:tc>
        <w:tc>
          <w:tcPr>
            <w:tcW w:type="dxa" w:w="1022"/>
            <w:shd w:fill="D9EAF7"/>
          </w:tcPr>
          <w:p>
            <w:pPr>
              <w:jc w:val="center"/>
            </w:pPr>
            <w:r/>
            <w:r>
              <w:rPr>
                <w:b/>
                <w:sz w:val="17"/>
              </w:rPr>
              <w:t>Latency ms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BIPIA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1200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82.7%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82.7%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992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100.0%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0.1%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0.1%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1713.4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InjecAgent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2108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39.0%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43.7%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921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89.3%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4898.5</w:t>
            </w:r>
          </w:p>
        </w:tc>
      </w:tr>
      <w:tr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AgentDojo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567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21.3%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22.9%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130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93.1%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3.5%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1.8%</w:t>
            </w:r>
          </w:p>
        </w:tc>
        <w:tc>
          <w:tcPr>
            <w:tcW w:type="dxa" w:w="102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3755.9</w:t>
            </w:r>
          </w:p>
        </w:tc>
      </w:tr>
    </w:tbl>
    <w:p>
      <w:r>
        <w:t>解释：Old Sample IR = 攻击样本被拦截数 / 全部攻击样本数。该指标在 live-agent 流程中会低估 WAMI，因为部分攻击样本中 qwen2.5 并没有走到危险工具动作。WAMI Action Block Rate = 已拦截危险动作 / agent 实际生成的危险动作，更适合说明 WAMI gateway 本身对危险动作的拦截能力。</w:t>
      </w:r>
    </w:p>
    <w:p>
      <w:r>
        <w:t>结论：live-agent 结果说明，在 qwen2.5 实际生成危险动作的情况下，WAMI 对 BIPIA、InjecAgent、AgentDojo 的危险动作拦截率分别为 100.0%、89.3%、93.1%；同时正常动作误拦率分别为 0.1%、0.0%、1.8%。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