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240" w:after="160" w:line="264" w:lineRule="auto"/>
      </w:pPr>
      <w:r>
        <w:rPr>
          <w:rFonts w:ascii="Calibri" w:hAnsi="Calibri" w:eastAsia="Microsoft YaHei"/>
          <w:b/>
          <w:i w:val="0"/>
          <w:color w:val="287D8E"/>
          <w:sz w:val="19"/>
        </w:rPr>
        <w:t>TECHNICAL IMPLEMENTATION BRIEF</w:t>
      </w:r>
    </w:p>
    <w:p>
      <w:pPr>
        <w:keepNext w:val="0"/>
        <w:spacing w:before="0" w:after="100" w:line="264" w:lineRule="auto"/>
      </w:pPr>
      <w:r>
        <w:rPr>
          <w:rFonts w:ascii="Calibri" w:hAnsi="Calibri" w:eastAsia="Microsoft YaHei"/>
          <w:b/>
          <w:i w:val="0"/>
          <w:color w:val="17365D"/>
          <w:sz w:val="48"/>
        </w:rPr>
        <w:t>JEPA-PREDICT 模型改进路线与</w:t>
        <w:br/>
        <w:t>第一优先级实施报告</w:t>
      </w:r>
    </w:p>
    <w:p>
      <w:pPr>
        <w:keepNext w:val="0"/>
        <w:spacing w:before="0" w:after="280" w:line="264" w:lineRule="auto"/>
      </w:pPr>
      <w:r>
        <w:rPr>
          <w:rFonts w:ascii="Calibri" w:hAnsi="Calibri" w:eastAsia="Microsoft YaHei"/>
          <w:b w:val="0"/>
          <w:i w:val="0"/>
          <w:color w:val="66717E"/>
          <w:sz w:val="25"/>
        </w:rPr>
        <w:t>ECG-PPG 生理约束预训练、患者级冠心病识别与 PPG-only 迁移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17365D"/>
          <w:sz w:val="21"/>
        </w:rPr>
        <w:t>日期：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2026-07-22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17365D"/>
          <w:sz w:val="21"/>
        </w:rPr>
        <w:t>代码分支：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soft-dtw-token-align</w:t>
      </w:r>
    </w:p>
    <w:p>
      <w:pPr>
        <w:keepNext w:val="0"/>
        <w:spacing w:before="0" w:after="40" w:line="264" w:lineRule="auto"/>
      </w:pPr>
      <w:r>
        <w:rPr>
          <w:rFonts w:ascii="Calibri" w:hAnsi="Calibri" w:eastAsia="Microsoft YaHei"/>
          <w:b/>
          <w:i w:val="0"/>
          <w:color w:val="17365D"/>
          <w:sz w:val="21"/>
        </w:rPr>
        <w:t>本轮状态：</w:t>
      </w:r>
      <w:r>
        <w:rPr>
          <w:rFonts w:ascii="Calibri" w:hAnsi="Calibri" w:eastAsia="Microsoft YaHei"/>
          <w:b w:val="0"/>
          <w:i w:val="0"/>
          <w:color w:val="20262E"/>
          <w:sz w:val="21"/>
        </w:rPr>
        <w:t>第一优先级已实现并通过本地回归测试</w:t>
      </w:r>
    </w:p>
    <w:p>
      <w:pPr>
        <w:keepNext w:val="0"/>
        <w:spacing w:before="60" w:after="180" w:line="259" w:lineRule="auto"/>
        <w:ind w:left="202" w:right="144"/>
        <w:shd w:fill="FFF5DF"/>
        <w:pBdr>
          <w:left w:val="single" w:sz="18" w:space="5" w:color="A66A16"/>
        </w:pBdr>
      </w:pPr>
      <w:r>
        <w:rPr>
          <w:rFonts w:ascii="Calibri" w:hAnsi="Calibri" w:eastAsia="Microsoft YaHei"/>
          <w:b/>
          <w:i w:val="0"/>
          <w:color w:val="A66A16"/>
          <w:sz w:val="21"/>
        </w:rPr>
        <w:t xml:space="preserve">核心判断  </w:t>
      </w:r>
      <w:r>
        <w:rPr>
          <w:rFonts w:ascii="Calibri" w:hAnsi="Calibri" w:eastAsia="Microsoft YaHei"/>
          <w:b w:val="0"/>
          <w:i w:val="0"/>
          <w:color w:val="20262E"/>
          <w:sz w:val="20"/>
        </w:rPr>
        <w:t>现阶段不应继续通过堆叠模块追求更低的预训练 Loss。严格划分结果表明，Phase 2/3A 已经证明双通道协同有效，当前主要瓶颈是患者袋重复证据、疾病间共享同一模态融合策略，以及双通道知识无法稳定迁移到 PPG-only。</w:t>
      </w:r>
    </w:p>
    <w:p>
      <w:pPr>
        <w:pStyle w:val="Heading1"/>
        <w:keepNext/>
      </w:pPr>
      <w:r>
        <w:t>1. 当前结果与诊断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200"/>
        <w:gridCol w:w="1300"/>
        <w:gridCol w:w="1300"/>
        <w:gridCol w:w="3210"/>
      </w:tblGrid>
      <w:tr>
        <w:trPr>
          <w:tblHeader w:val="true"/>
          <w:cantSplit/>
        </w:trPr>
        <w:tc>
          <w:tcPr>
            <w:tcW w:type="dxa" w:w="235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实验</w:t>
            </w:r>
          </w:p>
        </w:tc>
        <w:tc>
          <w:tcPr>
            <w:tcW w:type="dxa" w:w="120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通道</w:t>
            </w:r>
          </w:p>
        </w:tc>
        <w:tc>
          <w:tcPr>
            <w:tcW w:type="dxa" w:w="130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Macro AUC</w:t>
            </w:r>
          </w:p>
        </w:tc>
        <w:tc>
          <w:tcPr>
            <w:tcW w:type="dxa" w:w="130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CHD AUC</w:t>
            </w:r>
          </w:p>
        </w:tc>
        <w:tc>
          <w:tcPr>
            <w:tcW w:type="dxa" w:w="321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Phase 2 epoch 80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ECG+PPG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0.7641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0.8023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因果传输对双通道有效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Phase 3A task-aware</w:t>
            </w:r>
          </w:p>
        </w:tc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ECG+PPG</w:t>
            </w:r>
          </w:p>
        </w:tc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0.7891</w:t>
            </w:r>
          </w:p>
        </w:tc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0.8083</w:t>
            </w:r>
          </w:p>
        </w:tc>
        <w:tc>
          <w:tcPr>
            <w:tcW w:type="dxa" w:w="32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CHD 增益约 +0.006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Phase 3A task-aware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PPG-only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0.7651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0.7748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单通道迁移仍是主要短板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历史最佳（不同设置）</w:t>
            </w:r>
          </w:p>
        </w:tc>
        <w:tc>
          <w:tcPr>
            <w:tcW w:type="dxa" w:w="12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ECG+PPG</w:t>
            </w:r>
          </w:p>
        </w:tc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0.7848</w:t>
            </w:r>
          </w:p>
        </w:tc>
        <w:tc>
          <w:tcPr>
            <w:tcW w:type="dxa" w:w="13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0.8440</w:t>
            </w:r>
          </w:p>
        </w:tc>
        <w:tc>
          <w:tcPr>
            <w:tcW w:type="dxa" w:w="32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划分和 support 不同，不直接比较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这些结果说明：跨模态 ECG→PPG 学习增强了共享的心脏周期信息，但可能同时压缩了 PPG 独有的血管形态信息。继续增加任务反馈权重未必能解决这一结构性问题。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双通道提升明确，说明 ECG 电活动与 PPG 血流动力学存在可利用的互补信息。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Phase 3A 对 CHD 的严格可比增益较小，暂不建议提高反馈梯度比例。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下一轮预训练创新应围绕 shared/private 解耦和缺失模态鲁棒性，而不是再增加通用 Transformer 层。</w:t>
      </w:r>
    </w:p>
    <w:p>
      <w:pPr>
        <w:pStyle w:val="Heading1"/>
        <w:keepNext/>
      </w:pPr>
      <w:r>
        <w:t>2. 分阶段改进路线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50"/>
        <w:gridCol w:w="2450"/>
        <w:gridCol w:w="2500"/>
        <w:gridCol w:w="1650"/>
        <w:gridCol w:w="1810"/>
      </w:tblGrid>
      <w:tr>
        <w:trPr>
          <w:tblHeader w:val="true"/>
          <w:cantSplit/>
        </w:trPr>
        <w:tc>
          <w:tcPr>
            <w:tcW w:type="dxa" w:w="950"/>
            <w:shd w:fill="E8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优先级</w:t>
            </w:r>
          </w:p>
        </w:tc>
        <w:tc>
          <w:tcPr>
            <w:tcW w:type="dxa" w:w="2450"/>
            <w:shd w:fill="E8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改进内容</w:t>
            </w:r>
          </w:p>
        </w:tc>
        <w:tc>
          <w:tcPr>
            <w:tcW w:type="dxa" w:w="2500"/>
            <w:shd w:fill="E8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解决问题</w:t>
            </w:r>
          </w:p>
        </w:tc>
        <w:tc>
          <w:tcPr>
            <w:tcW w:type="dxa" w:w="1650"/>
            <w:shd w:fill="E8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是否需预训练</w:t>
            </w:r>
          </w:p>
        </w:tc>
        <w:tc>
          <w:tcPr>
            <w:tcW w:type="dxa" w:w="1810"/>
            <w:shd w:fill="E8F3F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当前状态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P1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MIL 掩码、疾病条件化融合、双→单蒸馏、配置清理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重复证据、共享门控、PPG 迁移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已实现</w:t>
            </w:r>
          </w:p>
        </w:tc>
      </w:tr>
      <w:tr>
        <w:trPr>
          <w:cantSplit/>
        </w:trPr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P2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Shared-Private JEPA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保留 PPG 血管形态私有信息</w:t>
            </w:r>
          </w:p>
        </w:tc>
        <w:tc>
          <w:tcPr>
            <w:tcW w:type="dxa" w:w="16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需要继续或重训</w:t>
            </w:r>
          </w:p>
        </w:tc>
        <w:tc>
          <w:tcPr>
            <w:tcW w:type="dxa" w:w="18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待实施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P3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模态 dropout 与缺失模态一致性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部署缺失 ECG 时性能下降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需要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待实施</w:t>
            </w:r>
          </w:p>
        </w:tc>
      </w:tr>
      <w:tr>
        <w:trPr>
          <w:cantSplit/>
        </w:trPr>
        <w:tc>
          <w:tcPr>
            <w:tcW w:type="dxa" w:w="9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P4</w:t>
            </w:r>
          </w:p>
        </w:tc>
        <w:tc>
          <w:tcPr>
            <w:tcW w:type="dxa" w:w="24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PAT 弱监督与 SQI 软权重</w:t>
            </w:r>
          </w:p>
        </w:tc>
        <w:tc>
          <w:tcPr>
            <w:tcW w:type="dxa" w:w="2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延迟约束过宽、低质量片段干扰</w:t>
            </w:r>
          </w:p>
        </w:tc>
        <w:tc>
          <w:tcPr>
            <w:tcW w:type="dxa" w:w="16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需要</w:t>
            </w:r>
          </w:p>
        </w:tc>
        <w:tc>
          <w:tcPr>
            <w:tcW w:type="dxa" w:w="181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待实施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P5</w:t>
            </w:r>
          </w:p>
        </w:tc>
        <w:tc>
          <w:tcPr>
            <w:tcW w:type="dxa" w:w="24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受控 Phase 3A 任务反馈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使预训练更贴近 CHD 目标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建议从 Phase 2 续训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条件实施</w:t>
            </w:r>
          </w:p>
        </w:tc>
      </w:tr>
    </w:tbl>
    <w:p>
      <w:pPr>
        <w:spacing w:after="40"/>
      </w:pPr>
    </w:p>
    <w:p>
      <w:pPr>
        <w:keepNext w:val="0"/>
        <w:spacing w:before="60" w:after="180" w:line="259" w:lineRule="auto"/>
        <w:ind w:left="202" w:right="144"/>
        <w:shd w:fill="E8F3F4"/>
        <w:pBdr>
          <w:left w:val="single" w:sz="18" w:space="5" w:color="287D8E"/>
        </w:pBdr>
      </w:pPr>
      <w:r>
        <w:rPr>
          <w:rFonts w:ascii="Calibri" w:hAnsi="Calibri" w:eastAsia="Microsoft YaHei"/>
          <w:b/>
          <w:i w:val="0"/>
          <w:color w:val="287D8E"/>
          <w:sz w:val="21"/>
        </w:rPr>
        <w:t xml:space="preserve">实施原则  </w:t>
      </w:r>
      <w:r>
        <w:rPr>
          <w:rFonts w:ascii="Calibri" w:hAnsi="Calibri" w:eastAsia="Microsoft YaHei"/>
          <w:b w:val="0"/>
          <w:i w:val="0"/>
          <w:color w:val="20262E"/>
          <w:sz w:val="20"/>
        </w:rPr>
        <w:t>先用无需重做预训练的下游改动验证收益，再决定是否投入完整预训练。这样可以把结构收益与预训练收益分开归因。</w:t>
      </w:r>
    </w:p>
    <w:p>
      <w:r>
        <w:br w:type="page"/>
      </w:r>
    </w:p>
    <w:p>
      <w:pPr>
        <w:pStyle w:val="Heading1"/>
        <w:keepNext/>
      </w:pPr>
      <w:r>
        <w:t>3. 第一优先级：本轮代码修改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64219"/>
            <wp:docPr id="1" name="Priority-one downstream architecture" descr="Patient segments with a validity mask pass through separate ECG and PPG encoders, disease-conditioned modality fusion, and masked patient MIL; a dual teacher can distill a PPG-only stud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Microsoft YaHei"/>
          <w:b w:val="0"/>
          <w:i/>
          <w:color w:val="66717E"/>
          <w:sz w:val="18"/>
        </w:rPr>
        <w:t>图 1  第一优先级后的患者级双通道下游架构</w:t>
      </w:r>
    </w:p>
    <w:p>
      <w:pPr>
        <w:pStyle w:val="Heading2"/>
        <w:keepNext/>
      </w:pPr>
      <w:r>
        <w:t>3.1 Patient-MIL 有效片段掩码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原实现对不足 max_segments 的患者重复采样同一片段，并将重复项视为独立证据。本轮改为每个真实片段只出现一次，其余位置零填充，同时返回布尔 segment_mask。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训练与验证均不再通过重复片段补齐患者袋。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MIL softmax 在无效位置使用掩码，无效位置注意力严格为 0。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所有患者袋至少保留一个有效片段，异常输入会显式报错。</w:t>
      </w:r>
    </w:p>
    <w:p>
      <w:pPr>
        <w:pStyle w:val="Heading2"/>
        <w:keepNext/>
      </w:pPr>
      <w:r>
        <w:t>3.2 疾病条件化 ECG/PPG 融合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原双通道头先用一个共享门控融合 ECG 与 PPG，再执行疾病条件化片段注意力，因此九种疾病共享同一种模态融合方式。本轮保留两路表示直到患者级聚合，并为每种疾病独立计算：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ECG 片段注意力与 ECG 患者表示。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PPG 片段注意力与 PPG 患者表示。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基于疾病嵌入的 ECG/PPG 向量门控和跨模态交互项。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因此心律失常、高血压、冠心病等任务可以学习不同的模态依赖。历史下游教师权重仍可通过 legacy shared-gate 分支加载。</w:t>
      </w:r>
    </w:p>
    <w:p>
      <w:pPr>
        <w:pStyle w:val="Heading2"/>
        <w:keepNext/>
      </w:pPr>
      <w:r>
        <w:t>3.3 双通道教师蒸馏到 PPG-only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新增显式的 PPG-only 蒸馏入口。训练数据仍读取 ECG+PPG，学生仅切取 PPG 通道；冻结的双通道教师同时提供疾病 logits 与患者级 embedding。</w:t>
      </w:r>
    </w:p>
    <w:p>
      <w:pPr>
        <w:keepNext w:val="0"/>
        <w:spacing w:before="40" w:after="160" w:line="240" w:lineRule="auto"/>
        <w:shd w:fill="F5F7FA"/>
        <w:ind w:left="216" w:right="144"/>
      </w:pPr>
      <w:r>
        <w:rPr>
          <w:rFonts w:ascii="Consolas" w:hAnsi="Consolas" w:eastAsia="Microsoft YaHei"/>
          <w:color w:val="20262E"/>
          <w:sz w:val="16"/>
        </w:rPr>
        <w:t>L = L_supervised</w:t>
      </w:r>
      <w:r>
        <w:br/>
      </w:r>
      <w:r>
        <w:rPr>
          <w:rFonts w:ascii="Consolas" w:hAnsi="Consolas" w:eastAsia="Microsoft YaHei"/>
          <w:color w:val="20262E"/>
          <w:sz w:val="16"/>
        </w:rPr>
        <w:t xml:space="preserve">  + 0.3 * L_binary_logit_distillation</w:t>
      </w:r>
      <w:r>
        <w:br/>
      </w:r>
      <w:r>
        <w:rPr>
          <w:rFonts w:ascii="Consolas" w:hAnsi="Consolas" w:eastAsia="Microsoft YaHei"/>
          <w:color w:val="20262E"/>
          <w:sz w:val="16"/>
        </w:rPr>
        <w:t xml:space="preserve">  + 0.1 * L_patient_embedding_cosine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蒸馏默认关闭，只有传入 --dual_teacher_checkpoint 时启用，不会改变现有基线命令。温度和两项权重均可通过命令行覆盖。</w:t>
      </w:r>
    </w:p>
    <w:p>
      <w:pPr>
        <w:pStyle w:val="Heading2"/>
        <w:keepNext/>
      </w:pPr>
      <w:r>
        <w:t>3.4 配置与可复现性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删除 ModelConfig 中重复定义的 use_dual_channel，避免后一个值静默覆盖前一个值。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下游 checkpoint 新增模型架构、教师路径、蒸馏超参数、随机种子和数据划分 provenance。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Phase 3A 反馈训练同步接收 segment_mask，避免后续任务反馈继续使用填充片段。</w:t>
      </w:r>
    </w:p>
    <w:p>
      <w:pPr>
        <w:pStyle w:val="Heading1"/>
        <w:keepNext/>
      </w:pPr>
      <w:r>
        <w:t>4. 训练方式与重训练要求</w:t>
      </w:r>
    </w:p>
    <w:p>
      <w:pPr>
        <w:keepNext w:val="0"/>
        <w:spacing w:before="60" w:after="180" w:line="259" w:lineRule="auto"/>
        <w:ind w:left="202" w:right="144"/>
        <w:shd w:fill="EAF2F8"/>
        <w:pBdr>
          <w:left w:val="single" w:sz="18" w:space="5" w:color="2E74B5"/>
        </w:pBdr>
      </w:pPr>
      <w:r>
        <w:rPr>
          <w:rFonts w:ascii="Calibri" w:hAnsi="Calibri" w:eastAsia="Microsoft YaHei"/>
          <w:b/>
          <w:i w:val="0"/>
          <w:color w:val="2E74B5"/>
          <w:sz w:val="21"/>
        </w:rPr>
        <w:t xml:space="preserve">是否需要重新预训练  </w:t>
      </w:r>
      <w:r>
        <w:rPr>
          <w:rFonts w:ascii="Calibri" w:hAnsi="Calibri" w:eastAsia="Microsoft YaHei"/>
          <w:b w:val="0"/>
          <w:i w:val="0"/>
          <w:color w:val="20262E"/>
          <w:sz w:val="20"/>
        </w:rPr>
        <w:t>本轮 P1 修改不需要重新进行 JEPA 预训练。可直接使用 Phase 2 或 Phase 3A 预训练权重，重新训练下游分类头和微调编码器。只有后续 Shared-Private JEPA、模态 dropout 和质量感知 transport 才需要继续预训练。</w:t>
      </w:r>
    </w:p>
    <w:p>
      <w:pPr>
        <w:pStyle w:val="Heading2"/>
        <w:keepNext/>
      </w:pPr>
      <w:r>
        <w:t>4.1 训练新的疾病条件化双通道模型</w:t>
      </w:r>
    </w:p>
    <w:p>
      <w:pPr>
        <w:keepNext w:val="0"/>
        <w:spacing w:before="40" w:after="160" w:line="240" w:lineRule="auto"/>
        <w:shd w:fill="F5F7FA"/>
        <w:ind w:left="216" w:right="144"/>
      </w:pPr>
      <w:r>
        <w:rPr>
          <w:rFonts w:ascii="Consolas" w:hAnsi="Consolas" w:eastAsia="Microsoft YaHei"/>
          <w:color w:val="20262E"/>
          <w:sz w:val="16"/>
        </w:rPr>
        <w:t>mkdir -p outputs_priority1_dual_seed42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python -u train_downstream.py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--checkpoint outputs_phase2_seed42_bs192/jepa_epoch_80.pt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--dataset multidisease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--multidisease_channel both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--multidisease_split splits/multidisease_taskaware_downstream.json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--output_dir outputs_priority1_dual_seed42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--mil_batch_size 32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--mil_chunk_size 64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--workers 8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--seed 42 \</w:t>
      </w:r>
      <w:r>
        <w:br/>
      </w:r>
      <w:r>
        <w:rPr>
          <w:rFonts w:ascii="Consolas" w:hAnsi="Consolas" w:eastAsia="Microsoft YaHei"/>
          <w:color w:val="20262E"/>
          <w:sz w:val="16"/>
        </w:rPr>
        <w:t>+  2&gt;&amp;1 | tee outputs_priority1_dual_seed42/downstream_console.log</w:t>
      </w:r>
    </w:p>
    <w:p>
      <w:pPr>
        <w:pStyle w:val="Heading2"/>
        <w:keepNext/>
      </w:pPr>
      <w:r>
        <w:t>4.2 使用双通道最佳权重蒸馏 PPG-only</w:t>
      </w:r>
    </w:p>
    <w:p>
      <w:pPr>
        <w:keepNext w:val="0"/>
        <w:spacing w:before="40" w:after="160" w:line="240" w:lineRule="auto"/>
        <w:shd w:fill="F5F7FA"/>
        <w:ind w:left="216" w:right="144"/>
      </w:pPr>
      <w:r>
        <w:rPr>
          <w:rFonts w:ascii="Consolas" w:hAnsi="Consolas" w:eastAsia="Microsoft YaHei"/>
          <w:color w:val="20262E"/>
          <w:sz w:val="16"/>
        </w:rPr>
        <w:t>mkdir -p outputs_priority1_ppg_distill_seed42</w:t>
      </w:r>
      <w:r>
        <w:br/>
      </w:r>
      <w:r>
        <w:rPr>
          <w:rFonts w:ascii="Consolas" w:hAnsi="Consolas" w:eastAsia="Microsoft YaHei"/>
          <w:color w:val="20262E"/>
          <w:sz w:val="16"/>
        </w:rPr>
      </w:r>
      <w:r>
        <w:br/>
      </w:r>
      <w:r>
        <w:rPr>
          <w:rFonts w:ascii="Consolas" w:hAnsi="Consolas" w:eastAsia="Microsoft YaHei"/>
          <w:color w:val="20262E"/>
          <w:sz w:val="16"/>
        </w:rPr>
        <w:t>python -u train_downstream.py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--checkpoint outputs_phase2_seed42_bs192/jepa_epoch_80.pt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--dataset multidisease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--multidisease_channel ppg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--multidisease_split splits/multidisease_taskaware_downstream.json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--dual_teacher_checkpoint outputs_priority1_dual_seed42/downstream_multidisease_best.pt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--distill_logit_weight 0.3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--distill_embedding_weight 0.1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--distill_temperature 2.0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--output_dir outputs_priority1_ppg_distill_seed42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--mil_batch_size 32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--mil_chunk_size 64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--workers 8 \</w:t>
      </w:r>
      <w:r>
        <w:br/>
      </w:r>
      <w:r>
        <w:rPr>
          <w:rFonts w:ascii="Consolas" w:hAnsi="Consolas" w:eastAsia="Microsoft YaHei"/>
          <w:color w:val="20262E"/>
          <w:sz w:val="16"/>
        </w:rPr>
        <w:t>+  --seed 42 \</w:t>
      </w:r>
      <w:r>
        <w:br/>
      </w:r>
      <w:r>
        <w:rPr>
          <w:rFonts w:ascii="Consolas" w:hAnsi="Consolas" w:eastAsia="Microsoft YaHei"/>
          <w:color w:val="20262E"/>
          <w:sz w:val="16"/>
        </w:rPr>
        <w:t>+  2&gt;&amp;1 | tee outputs_priority1_ppg_distill_seed42/downstream_console.log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注意：--dual_teacher_checkpoint 必须是完成下游训练后的双通道 downstream_multidisease_best.pt，而不是 JEPA 预训练权重。</w:t>
      </w:r>
    </w:p>
    <w:p>
      <w:r>
        <w:br w:type="page"/>
      </w:r>
    </w:p>
    <w:p>
      <w:pPr>
        <w:pStyle w:val="Heading1"/>
        <w:keepNext/>
      </w:pPr>
      <w:r>
        <w:t>5. 对照实验与验收标准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250"/>
        <w:gridCol w:w="2100"/>
        <w:gridCol w:w="1550"/>
        <w:gridCol w:w="2960"/>
      </w:tblGrid>
      <w:tr>
        <w:trPr>
          <w:tblHeader w:val="true"/>
          <w:cantSplit/>
        </w:trPr>
        <w:tc>
          <w:tcPr>
            <w:tcW w:type="dxa" w:w="150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实验</w:t>
            </w:r>
          </w:p>
        </w:tc>
        <w:tc>
          <w:tcPr>
            <w:tcW w:type="dxa" w:w="125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MIL mask</w:t>
            </w:r>
          </w:p>
        </w:tc>
        <w:tc>
          <w:tcPr>
            <w:tcW w:type="dxa" w:w="210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疾病条件化融合</w:t>
            </w:r>
          </w:p>
        </w:tc>
        <w:tc>
          <w:tcPr>
            <w:tcW w:type="dxa" w:w="155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双→PPG 蒸馏</w:t>
            </w:r>
          </w:p>
        </w:tc>
        <w:tc>
          <w:tcPr>
            <w:tcW w:type="dxa" w:w="2960"/>
            <w:shd w:fill="EAF2F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7365D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E0 原始基线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锁定历史结果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E1 Mask only</w:t>
            </w:r>
          </w:p>
        </w:tc>
        <w:tc>
          <w:tcPr>
            <w:tcW w:type="dxa" w:w="12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是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否（legacy）</w:t>
            </w:r>
          </w:p>
        </w:tc>
        <w:tc>
          <w:tcPr>
            <w:tcW w:type="dxa" w:w="15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验证重复片段偏差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E2 新双通道头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是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是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验证疾病特异模态权重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E3 PPG baseline</w:t>
            </w:r>
          </w:p>
        </w:tc>
        <w:tc>
          <w:tcPr>
            <w:tcW w:type="dxa" w:w="12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是</w:t>
            </w:r>
          </w:p>
        </w:tc>
        <w:tc>
          <w:tcPr>
            <w:tcW w:type="dxa" w:w="210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不适用</w:t>
            </w:r>
          </w:p>
        </w:tc>
        <w:tc>
          <w:tcPr>
            <w:tcW w:type="dxa" w:w="155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否</w:t>
            </w:r>
          </w:p>
        </w:tc>
        <w:tc>
          <w:tcPr>
            <w:tcW w:type="dxa" w:w="2960"/>
            <w:shd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获得公平 PPG 对照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E4 PPG distill</w:t>
            </w:r>
          </w:p>
        </w:tc>
        <w:tc>
          <w:tcPr>
            <w:tcW w:type="dxa" w:w="1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是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教师使用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是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20262E"/>
                <w:sz w:val="17"/>
              </w:rPr>
              <w:t>验证双通道知识迁移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所有实验必须使用相同患者级划分文件、相同预训练权重和相同训练预算，并至少运行 seed=42、3407、2026 三个随机种子。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主要指标：CHD patient-level ROC-AUC，报告三随机种子均值和标准差。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辅助指标：Macro AUC、CHD AUPRC、Precision、Recall、F1、F0.5 与校准误差。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统计报告：患者级 bootstrap 95% 置信区间；测试集只用于最终一次评估。</w:t>
      </w:r>
    </w:p>
    <w:p>
      <w:pPr>
        <w:keepNext w:val="0"/>
        <w:spacing w:before="60" w:after="180" w:line="259" w:lineRule="auto"/>
        <w:ind w:left="202" w:right="144"/>
        <w:shd w:fill="E8F3F4"/>
        <w:pBdr>
          <w:left w:val="single" w:sz="18" w:space="5" w:color="4F8A63"/>
        </w:pBdr>
      </w:pPr>
      <w:r>
        <w:rPr>
          <w:rFonts w:ascii="Calibri" w:hAnsi="Calibri" w:eastAsia="Microsoft YaHei"/>
          <w:b/>
          <w:i w:val="0"/>
          <w:color w:val="4F8A63"/>
          <w:sz w:val="21"/>
        </w:rPr>
        <w:t xml:space="preserve">建议验收线  </w:t>
      </w:r>
      <w:r>
        <w:rPr>
          <w:rFonts w:ascii="Calibri" w:hAnsi="Calibri" w:eastAsia="Microsoft YaHei"/>
          <w:b w:val="0"/>
          <w:i w:val="0"/>
          <w:color w:val="20262E"/>
          <w:sz w:val="20"/>
        </w:rPr>
        <w:t>PPG-only CHD AUC 相对未蒸馏基线提升至少 0.02；新双通道 CHD AUC 相对 Phase 2 严格基线下降不超过 0.005；三个随机种子方向一致。</w:t>
      </w:r>
    </w:p>
    <w:p>
      <w:pPr>
        <w:pStyle w:val="Heading1"/>
        <w:keepNext/>
      </w:pPr>
      <w:r>
        <w:t>6. 后续预训练创新方向</w:t>
      </w:r>
    </w:p>
    <w:p>
      <w:pPr>
        <w:pStyle w:val="Heading2"/>
        <w:keepNext/>
      </w:pPr>
      <w:r>
        <w:t>6.1 Shared-Private JEPA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将每种模态拆分为 shared 与 private 表示，仅在 shared 表示上执行 ECG→PPG 因果 transport；PPG-private 分支保留脉搏波上升时间、反射波、血管顺应性和切迹等血管形态信息。可从 Phase 2 最优权重继续训练 20–40 epoch 做可行性验证，论文最终版再从头预训练。</w:t>
      </w:r>
    </w:p>
    <w:p>
      <w:pPr>
        <w:pStyle w:val="Heading2"/>
        <w:keepNext/>
      </w:pPr>
      <w:r>
        <w:t>6.2 缺失模态与质量感知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预训练中引入 ECG+PPG、PPG-only、ECG-only 三种输入状态；双通道样本执行 cross-modal transport，单通道样本执行同模态 masked JEPA。SQI 作为连续权重进入 transport loss 和 MIL attention，不再用硬阈值删除样本。</w:t>
      </w:r>
    </w:p>
    <w:p>
      <w:pPr>
        <w:pStyle w:val="Heading2"/>
        <w:keepNext/>
      </w:pPr>
      <w:r>
        <w:t>6.3 生理延迟弱监督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由 ECG R 峰与 PPG 波足估计样本级 PAT，为 transport 提供自适应时间窗；高置信心搏使用 Huber 或分布 KL 约束，并单独报告 delay MAE 与相关性。</w:t>
      </w:r>
    </w:p>
    <w:p>
      <w:pPr>
        <w:pStyle w:val="Heading1"/>
        <w:keepNext/>
      </w:pPr>
      <w:r>
        <w:t>7. 建议论文创新表述</w:t>
      </w:r>
    </w:p>
    <w:p>
      <w:pPr>
        <w:keepNext w:val="0"/>
        <w:spacing w:before="60" w:after="180" w:line="259" w:lineRule="auto"/>
        <w:ind w:left="202" w:right="144"/>
        <w:shd w:fill="FFF5DF"/>
        <w:pBdr>
          <w:left w:val="single" w:sz="18" w:space="5" w:color="A66A16"/>
        </w:pBdr>
      </w:pPr>
      <w:r>
        <w:rPr>
          <w:rFonts w:ascii="Calibri" w:hAnsi="Calibri" w:eastAsia="Microsoft YaHei"/>
          <w:b/>
          <w:i w:val="0"/>
          <w:color w:val="A66A16"/>
          <w:sz w:val="21"/>
        </w:rPr>
        <w:t xml:space="preserve">推荐表述  </w:t>
      </w:r>
      <w:r>
        <w:rPr>
          <w:rFonts w:ascii="Calibri" w:hAnsi="Calibri" w:eastAsia="Microsoft YaHei"/>
          <w:b w:val="0"/>
          <w:i w:val="0"/>
          <w:color w:val="20262E"/>
          <w:sz w:val="20"/>
        </w:rPr>
        <w:t>面向冠心病识别的生理约束共享—私有跨模态 JEPA：通过 ECG→PPG 因果延迟传输学习共享电—血流动力学表示，同时保留 PPG 血管形态私有表示，并利用患者级质量感知 MIL 与缺失模态蒸馏支持双通道和 PPG-only 推理。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1"/>
        </w:rPr>
        <w:t>不建议把“使用 JEPA”“使用 Patient-MIL”或“ECG→PPG 方向性”单独作为创新点，因为已有工作覆盖这些组成部分。论文贡献应集中在因果 transport、shared/private 解耦、质量感知患者聚合及双到单模态迁移的统一设计。</w:t>
      </w:r>
    </w:p>
    <w:p>
      <w:pPr>
        <w:pStyle w:val="Heading1"/>
        <w:keepNext/>
      </w:pPr>
      <w:r>
        <w:t>8. 参考方向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xMAE: Physiology-Aware Masked Cross-Modal Reconstruction for Biosignal Representation Learning. https://arxiv.org/abs/2605.00973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PhysioJEPA: Multimodal high-frequency physiological representation learning. https://openreview.net/forum?id=bdXsfrNaGY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AIM: Self-supervised Learning for Incomplete Multimodal Wearable Sensor Data. https://openreview.net/forum?id=eOATzq7NvI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Promoting cross-modal representations for physiological foundation models. https://openreview.net/forum?id=HNQxrUOvX4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MOMENT: A Family of Open Time-series Foundation Models. https://proceedings.mlr.press/v235/goswami24a.html</w:t>
      </w:r>
    </w:p>
    <w:p>
      <w:pPr>
        <w:pStyle w:val="Heading1"/>
        <w:keepNext/>
      </w:pPr>
      <w:r>
        <w:t>9. 本轮验证记录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python -m py_compile：config.py、dataset/data.py、models/classifier.py、train_downstream.py、train_taskaware_pretrain.py 全部通过。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test_priority1_downstream.py：6 项测试通过，包括掩码不变性、零填充、双通道疾病条件化融合、旧结构兼容和一次蒸馏反向更新。</w:t>
      </w:r>
    </w:p>
    <w:p>
      <w:pPr>
        <w:pStyle w:val="ListBullet"/>
        <w:keepNext w:val="0"/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20262E"/>
          <w:sz w:val="20"/>
        </w:rPr>
        <w:t>test_sanity.py：编码器、JEPA、EMA 和端到端训练趋势全部通过。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17E"/>
        <w:sz w:val="17"/>
      </w:rPr>
      <w:t xml:space="preserve">第 </w:t>
    </w:r>
    <w:fldSimple w:instr="PAGE"/>
    <w:r>
      <w:rPr>
        <w:rFonts w:ascii="Calibri" w:hAnsi="Calibri" w:eastAsia="Microsoft YaHei"/>
        <w:b w:val="0"/>
        <w:i w:val="0"/>
        <w:color w:val="66717E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64" w:lineRule="auto"/>
      <w:jc w:val="left"/>
    </w:pPr>
    <w:r>
      <w:rPr>
        <w:rFonts w:ascii="Calibri" w:hAnsi="Calibri" w:eastAsia="Microsoft YaHei"/>
        <w:b/>
        <w:i w:val="0"/>
        <w:color w:val="66717E"/>
        <w:sz w:val="17"/>
      </w:rPr>
      <w:t>JEPA-PREDICT | 模型改进实施报告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0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JEPA-PREDICT 模型改进路线与第一优先级实施报告</dc:title>
  <dc:subject>ECG-PPG JEPA downstream priority-one improvements</dc:subject>
  <dc:creator>JEPA-PREDICT Research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