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after="180"/>
      </w:pPr>
      <w:r>
        <w:rPr>
          <w:b w:val="0"/>
          <w:sz w:val="28"/>
        </w:rPr>
        <w:t>Cover letter</w:t>
      </w:r>
    </w:p>
    <w:p>
      <w:pPr>
        <w:keepNext w:val="0"/>
        <w:widowControl/>
        <w:spacing w:after="160"/>
      </w:pPr>
      <w:r>
        <w:t>27 October 2026</w:t>
      </w:r>
    </w:p>
    <w:p>
      <w:pPr>
        <w:keepNext w:val="0"/>
        <w:widowControl/>
        <w:spacing w:after="160"/>
      </w:pPr>
      <w:r>
        <w:t>Dear Editors of Information Sciences,</w:t>
      </w:r>
    </w:p>
    <w:p>
      <w:pPr>
        <w:keepNext w:val="0"/>
        <w:widowControl/>
        <w:spacing w:after="140"/>
      </w:pPr>
      <w:r>
        <w:t>I submit “State Aggregation in Dynamic Graph Recovery: Separating Structural Ranking from Temporal Discrimination” for consideration as an original research article. The paper studies how replacing local graph estimates by shared state-level summaries changes recovery of edges at the times they are active. Its evaluation protocol separates pooled structural ranking, within-edge state discrimination and boundary detection on the same inputs and local scores.</w:t>
      </w:r>
    </w:p>
    <w:p>
      <w:pPr>
        <w:keepNext w:val="0"/>
        <w:widowControl/>
        <w:spacing w:after="140"/>
      </w:pPr>
      <w:r>
        <w:t>The contribution combines task-specific diagnostic accounting with controlled empirical evidence. A 100-repeat paired study finds hard-minus-raw within-edge temporal AUROC differences of -0.069 and +0.038 at two duration configurations. A separate 50-repeat schedule study and a separately specified 30-repeat symmetric-generator/window study bound the conditions under which the contrast occurs. Duration also changes switch coverage, so the findings remain configuration-specific.</w:t>
      </w:r>
    </w:p>
    <w:p>
      <w:pPr>
        <w:keepNext w:val="0"/>
        <w:widowControl/>
        <w:spacing w:after="140"/>
      </w:pPr>
      <w:r>
        <w:t>Fixed score controls show that pooled-ranking gains can occur without changed temporal order. Residual pair accounting distinguishes restored within-group ordering from cross-group reordering. Reporting both standard and positive-change AP with fixed threshold references changes the assessment of boundary recovery on the same predictions. A PELT plus segment-VAR comparator applies the protocol to another partition/refit construction: pooled ranking improves, while neither duration has an established within-edge temporal AUROC advantage. The prototype gate is one implementation case. The scope remains the tested two-state linear systems and local linear scorers.</w:t>
      </w:r>
    </w:p>
    <w:p>
      <w:pPr>
        <w:keepNext w:val="0"/>
        <w:widowControl/>
        <w:spacing w:after="140"/>
      </w:pPr>
      <w:r>
        <w:t>These distinctions are relevant to information aggregation and the evaluation of data-driven structure recovery. A separate supplement presents definitions, procedures, derivations, study designs and results. The accompanying archive contains complete retained simulation inputs and fitted outputs, analysis code and reproduction instructions. Eight selected same-seed pipelines were also generated and fitted afresh, with all 492 recorded comparisons exact in the recorded environment. The industrial example supplies static expert truth only.</w:t>
      </w:r>
    </w:p>
    <w:p>
      <w:pPr>
        <w:keepNext w:val="0"/>
        <w:widowControl/>
        <w:spacing w:after="140"/>
      </w:pPr>
      <w:r>
        <w:t>This work has not been formally published and is not under consideration elsewhere. AI assistance in research code and manuscript preparation is disclosed. I retain responsibility for the scientific content and submission.</w:t>
      </w:r>
    </w:p>
    <w:p>
      <w:pPr>
        <w:keepNext/>
        <w:widowControl/>
        <w:spacing w:after="0"/>
      </w:pPr>
      <w:r>
        <w:t>Sincerely,</w:t>
      </w:r>
    </w:p>
    <w:p>
      <w:pPr>
        <w:keepNext/>
        <w:widowControl/>
        <w:spacing w:after="0"/>
      </w:pPr>
      <w:r>
        <w:t>Xuansong Chang</w:t>
      </w:r>
    </w:p>
    <w:p>
      <w:pPr>
        <w:keepNext/>
        <w:widowControl/>
        <w:spacing w:after="0"/>
      </w:pPr>
      <w:r>
        <w:t>Stony Brook Institute at Anhui University</w:t>
      </w:r>
    </w:p>
    <w:p>
      <w:pPr>
        <w:keepNext/>
        <w:widowControl/>
        <w:spacing w:after="0"/>
      </w:pPr>
      <w:r>
        <w:t>Anhui University, 3 Feixi Road, Shushan District, Hefei, Anhui 230039, China</w:t>
      </w:r>
    </w:p>
    <w:p>
      <w:pPr>
        <w:keepNext w:val="0"/>
        <w:widowControl/>
        <w:spacing w:after="0"/>
      </w:pPr>
      <w:r>
        <w:t>alec.xs.chang@gmail.com</w:t>
      </w:r>
    </w:p>
    <w:sectPr w:rsidR="00FC693F" w:rsidRPr="0006063C" w:rsidSect="00034616">
      <w:pgSz w:w="11905" w:h="16838"/>
      <w:pgMar w:top="1181" w:right="1368" w:bottom="1181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40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59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59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60" w:line="259" w:lineRule="auto"/>
      <w:ind w:left="259" w:hanging="259"/>
      <w:contextualSpacing/>
    </w:pPr>
    <w:rPr>
      <w:rFonts w:ascii="Times New Roman" w:hAnsi="Times New Roman" w:eastAsia="Times New Roman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Information Sciences</dc:title>
  <dc:subject>State Aggregation in Dynamic Graph Recovery: Separating Structural Ranking from Temporal Discrimination</dc:subject>
  <dc:creator>Xuansong Chang</dc:creator>
  <cp:keywords/>
  <dc:description/>
  <cp:lastModifiedBy>Xuansong Chang</cp:lastModifiedBy>
  <cp:revision>1</cp:revision>
  <dcterms:created xsi:type="dcterms:W3CDTF">2026-10-27T13:22:39Z</dcterms:created>
  <dcterms:modified xsi:type="dcterms:W3CDTF">2026-10-27T13:22:39Z</dcterms:modified>
  <cp:category/>
  <dc:identifier/>
  <dc:language>en-US</dc:language>
</cp:coreProperties>
</file>