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w:r>
        <w:t xml:space="preserve">v2f 稳健投稿稿说明：本版本依据 did方法修改建议.docx 与 v2e修改建议.docx 收紧 DID 叙述，并保留 treat_share 多期 DID/TWFE 为唯一主识别。</w:t>
      </w:r>
    </w:p>
    <w:p>
      <w:r>
        <w:t xml:space="preserve">v2f 公式规则：本 Word 版本保留原对象和 Office Math 公式；本轮新增说明不引入新的纯文本公式。后续若继续改写模型式，必须使用 Word 公式编辑器录入。</w:t>
      </w:r>
    </w:p>
    <w:p>
      <w:r>
        <w:t xml:space="preserve">v2f 数据边界：本版本使用 implied/pseudo city-slot registry 作为工作审计输入，但不将其称为真实城市名单或官方处理阈值底表。</w:t>
      </w:r>
    </w:p>
    <w:p ns2:paraId="2C1996D8">
      <w:pPr>
        <w:spacing w:before="0" w:after="120" w:line="420" w:lineRule="auto"/>
        <w:jc w:val="center"/>
      </w:pPr>
      <w:r>
        <w:t>政务服务数字化改革与PPP项目推进结构重组</w:t>
      </w:r>
    </w:p>
    <w:p ns2:paraId="390DCDE6">
      <w:pPr>
        <w:spacing w:before="0" w:after="100" w:line="420" w:lineRule="auto"/>
        <w:jc w:val="center"/>
      </w:pPr>
      <w:r>
        <w:t>——基于政策文本量化与省级面板的条件关联证据</w:t>
      </w:r>
    </w:p>
    <w:p ns2:paraId="30403AEF">
      <w:pPr>
        <w:spacing w:before="100" w:after="40" w:line="420" w:lineRule="auto"/>
        <w:jc w:val="left"/>
      </w:pPr>
      <w:r>
        <w:t>摘要</w:t>
      </w:r>
    </w:p>
    <w:p ns2:paraId="06D5E74C">
      <w:pPr>
        <w:spacing w:before="0" w:after="0" w:line="420" w:lineRule="auto"/>
        <w:ind w:firstLine="420"/>
        <w:jc w:val="both"/>
      </w:pPr>
      <w:r>
        <w:t>本文关注的核心问题不是数字化改革是否立即全面提升PPP治理质量，而是它是否首先与PPP项目推进结构重组相关。基于地方政府PPP政策文本、统一口径的省级主面板以及项目级风险底表，本文将政策文本量化结果转化为治理能力测度变量，并以treat_share为唯一主识别中的核心处理变量，在地区和年份固定效应框架下估计政务服务数字化改革暴露强度与PPP项目推进结构、治理表现之间的平均条件关联。结果显示，在基准TWFE规格下，treat_share与exec_share显著正相关（系数0.3556），与proc_share显著负相关（系数-0.4023）；在同一262个正式估计观测上补充构造的执行/采购对数比率指标也给出同向支持（系数3.1916，p = 0.0277）。相比之下，综合治理质量指标ppp_quality_zindex虽有正向信号，但统计上不够稳定，不能承担全文主结论。进一步的趋势调整型DID显示，proc_share在加入省份线性趋势后仍为负且p = 0.0485，exec_share仅保持正向但p = 0.1945；wild cluster bootstrap下两项主结果的p值分别为0.0761和0.1221，提示推断强度较标准聚类结果更敏感。考虑到A/B/C/D维度与treat_share都依托政策文本工程，本轮将相关结果统一降格为“政策文本证据线索”，仅用于说明数字治理接口、数据协同与前端规范环节更可能率先响应，而不再将其写作独立的强机制检验。项目级高低风险识别仍只构成治理辅助识别的扩展分析，不改变本文以多期DID/TWFE为唯一主识别的研究结构。本文据此将数字化改革在PPP领域的经验结果界定为过程性、方向性的条件关联证据：其更接近于改善政府内部协同、前端规范和审批执行衔接，而非即时、全面地提升所有治理质量指标。</w:t>
      </w:r>
    </w:p>
    <w:p ns2:paraId="67752E94">
      <w:pPr>
        <w:spacing w:before="0" w:after="40" w:line="420" w:lineRule="auto"/>
        <w:jc w:val="left"/>
      </w:pPr>
      <w:r>
        <w:t>关键词：数字政府；政务服务数字化改革；PPP治理；政策文本量化；推进结构重组；治理辅助识别</w:t>
      </w:r>
    </w:p>
    <w:p ns2:paraId="5705B879">
      <w:pPr>
        <w:spacing w:before="160" w:after="60" w:line="420" w:lineRule="auto"/>
        <w:jc w:val="left"/>
      </w:pPr>
      <w:r>
        <w:t>1 引言</w:t>
      </w:r>
    </w:p>
    <w:p ns2:paraId="7EA9AC05">
      <w:pPr>
        <w:spacing w:before="0" w:after="0" w:line="420" w:lineRule="auto"/>
        <w:ind w:firstLine="420"/>
        <w:jc w:val="both"/>
      </w:pPr>
      <w: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ns2:paraId="2AF545B6">
      <w:pPr>
        <w:spacing w:before="0" w:after="0" w:line="420" w:lineRule="auto"/>
        <w:ind w:firstLine="420"/>
        <w:jc w:val="both"/>
      </w:pPr>
      <w:r>
        <w: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w:t>
      </w:r>
    </w:p>
    <w:p ns2:paraId="07EBD6BC">
      <w:pPr>
        <w:spacing w:before="0" w:after="0" w:line="420" w:lineRule="auto"/>
        <w:ind w:firstLine="420"/>
        <w:jc w:val="both"/>
      </w:pPr>
      <w: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在地区和年份固定效应框架下考察数字化改革暴露强度与PPP项目推进结构重组之间的平均条件关联；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与PPP项目的推进结构重组和治理过程调整相关联。</w:t>
      </w:r>
    </w:p>
    <w:p ns2:paraId="51C6C0BD">
      <w:pPr>
        <w:spacing w:before="0" w:after="0" w:line="420" w:lineRule="auto"/>
        <w:ind w:firstLine="420"/>
        <w:jc w:val="both"/>
      </w:pPr>
      <w:r>
        <w:t>本文的经验结果显示，在基准双向固定效应规格下，treat_share与exec_share呈显著正向关联、与proc_share呈显著负向关联，对数比率补充估计也给出同向信号。这意味着当前最稳固的证据首先体现为PPP推进结构的相对重组，而不是所有治理质量指标的同步跃升。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w:t>
      </w:r>
    </w:p>
    <w:p ns2:paraId="72D87E3E">
      <w:pPr>
        <w:spacing w:before="0" w:after="0" w:line="420" w:lineRule="auto"/>
        <w:ind w:firstLine="420"/>
        <w:jc w:val="both"/>
      </w:pPr>
      <w: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ns2:paraId="4943697C">
      <w:pPr>
        <w:spacing w:before="160" w:after="60" w:line="420" w:lineRule="auto"/>
        <w:jc w:val="left"/>
      </w:pPr>
      <w:r>
        <w:t>2 文献综述</w:t>
      </w:r>
    </w:p>
    <w:p ns2:paraId="532AF634">
      <w:pPr>
        <w:spacing w:before="100" w:after="40" w:line="420" w:lineRule="auto"/>
        <w:jc w:val="left"/>
      </w:pPr>
      <w:r>
        <w:t>2.1 数字政府、政策执行与组织协同</w:t>
      </w:r>
    </w:p>
    <w:p ns2:paraId="7B2D6F51">
      <w:pPr>
        <w:spacing w:before="0" w:after="0" w:line="420" w:lineRule="auto"/>
        <w:ind w:firstLine="420"/>
        <w:jc w:val="both"/>
      </w:pPr>
      <w: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w:t>
      </w:r>
    </w:p>
    <w:p ns2:paraId="3A1123CD">
      <w:pPr>
        <w:spacing w:before="0" w:after="0" w:line="420" w:lineRule="auto"/>
        <w:ind w:firstLine="420"/>
        <w:jc w:val="both"/>
      </w:pPr>
      <w: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ns2:paraId="196E2D94">
      <w:pPr>
        <w:spacing w:before="0" w:after="0" w:line="420" w:lineRule="auto"/>
        <w:ind w:firstLine="420"/>
        <w:jc w:val="both"/>
      </w:pPr>
      <w:r>
        <w: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w:t>
      </w:r>
    </w:p>
    <w:p ns2:paraId="426717FE">
      <w:pPr>
        <w:spacing w:before="100" w:after="40" w:line="420" w:lineRule="auto"/>
        <w:jc w:val="left"/>
      </w:pPr>
      <w:r>
        <w:t>2.2 PPP治理、公共服务供给与项目推进</w:t>
      </w:r>
    </w:p>
    <w:p ns2:paraId="28EF0F58">
      <w:pPr>
        <w:spacing w:before="0" w:after="0" w:line="420" w:lineRule="auto"/>
        <w:ind w:firstLine="420"/>
        <w:jc w:val="both"/>
      </w:pPr>
      <w: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w:t>
      </w:r>
    </w:p>
    <w:p ns2:paraId="158F9385">
      <w:pPr>
        <w:spacing w:before="0" w:after="0" w:line="420" w:lineRule="auto"/>
        <w:ind w:firstLine="420"/>
        <w:jc w:val="both"/>
      </w:pPr>
      <w: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ns2:paraId="282BBE2B">
      <w:pPr>
        <w:spacing w:before="0" w:after="0" w:line="420" w:lineRule="auto"/>
        <w:ind w:firstLine="420"/>
        <w:jc w:val="both"/>
      </w:pPr>
      <w:r>
        <w: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w:t>
      </w:r>
    </w:p>
    <w:p ns2:paraId="2940264A">
      <w:pPr>
        <w:spacing w:before="100" w:after="40" w:line="420" w:lineRule="auto"/>
        <w:jc w:val="left"/>
      </w:pPr>
      <w:r>
        <w:t>2.3 政策文本量化、治理测度与变量工程</w:t>
      </w:r>
    </w:p>
    <w:p ns2:paraId="0B47B6EC">
      <w:pPr>
        <w:spacing w:before="0" w:after="0" w:line="420" w:lineRule="auto"/>
        <w:ind w:firstLine="420"/>
        <w:jc w:val="both"/>
      </w:pPr>
      <w: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w:t>
      </w:r>
    </w:p>
    <w:p ns2:paraId="61656872">
      <w:pPr>
        <w:spacing w:before="0" w:after="0" w:line="420" w:lineRule="auto"/>
        <w:ind w:firstLine="420"/>
        <w:jc w:val="both"/>
      </w:pPr>
      <w: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ns2:paraId="29E67CB4">
      <w:pPr>
        <w:spacing w:before="0" w:after="0" w:line="420" w:lineRule="auto"/>
        <w:ind w:firstLine="420"/>
        <w:jc w:val="both"/>
      </w:pPr>
      <w:r>
        <w: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w:t>
      </w:r>
    </w:p>
    <w:p ns2:paraId="060D3D1F">
      <w:pPr>
        <w:spacing w:before="100" w:after="40" w:line="420" w:lineRule="auto"/>
        <w:jc w:val="left"/>
      </w:pPr>
      <w:r>
        <w:t>2.4 风险治理与辅助识别的边界</w:t>
      </w:r>
    </w:p>
    <w:p ns2:paraId="615D316D">
      <w:pPr>
        <w:spacing w:before="0" w:after="0" w:line="420" w:lineRule="auto"/>
        <w:ind w:firstLine="420"/>
        <w:jc w:val="both"/>
      </w:pPr>
      <w: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w:t>
      </w:r>
    </w:p>
    <w:p ns2:paraId="70365786">
      <w:pPr>
        <w:spacing w:before="0" w:after="0" w:line="420" w:lineRule="auto"/>
        <w:ind w:firstLine="420"/>
        <w:jc w:val="both"/>
      </w:pPr>
      <w: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ns2:paraId="66567846">
      <w:pPr>
        <w:spacing w:before="0" w:after="0" w:line="420" w:lineRule="auto"/>
        <w:ind w:firstLine="420"/>
        <w:jc w:val="both"/>
      </w:pPr>
      <w:r>
        <w: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w:t>
      </w:r>
    </w:p>
    <w:p ns2:paraId="735A44BC">
      <w:pPr>
        <w:spacing w:before="0" w:after="0" w:line="420" w:lineRule="auto"/>
        <w:ind w:firstLine="420"/>
        <w:jc w:val="both"/>
      </w:pPr>
      <w: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ns2:paraId="6707BDC3">
      <w:pPr>
        <w:spacing w:before="160" w:after="60" w:line="420" w:lineRule="auto"/>
        <w:jc w:val="left"/>
      </w:pPr>
      <w:r>
        <w:t>3 理论分析与研究假设</w:t>
      </w:r>
    </w:p>
    <w:p ns2:paraId="1C9B496D">
      <w:pPr>
        <w:spacing w:before="0" w:after="0" w:line="420" w:lineRule="auto"/>
        <w:ind w:firstLine="420"/>
        <w:jc w:val="both"/>
      </w:pPr>
      <w:r>
        <w: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ns2:paraId="563E5DF9">
      <w:pPr>
        <w:spacing w:before="160" w:after="60" w:line="420" w:lineRule="auto"/>
        <w:jc w:val="left"/>
      </w:pPr>
      <w:r>
        <w:t>3.1 数字化改革、政府协同与PPP推进结构</w:t>
      </w:r>
    </w:p>
    <w:p ns2:paraId="2319931F">
      <w:pPr>
        <w:spacing w:before="0" w:after="0" w:line="420" w:lineRule="auto"/>
        <w:ind w:firstLine="420"/>
        <w:jc w:val="both"/>
      </w:pPr>
      <w:r>
        <w: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w:t>
      </w:r>
    </w:p>
    <w:p ns2:paraId="17069AF5">
      <w:pPr>
        <w:spacing w:before="0" w:after="0" w:line="420" w:lineRule="auto"/>
        <w:ind w:firstLine="420"/>
        <w:jc w:val="both"/>
      </w:pPr>
      <w: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ns2:paraId="1C61CB02">
      <w:pPr>
        <w:spacing w:before="0" w:after="0" w:line="420" w:lineRule="auto"/>
        <w:ind w:firstLine="420"/>
        <w:jc w:val="both"/>
      </w:pPr>
      <w:r>
        <w: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ns2:paraId="2A8A054C">
      <w:pPr>
        <w:spacing w:before="0" w:after="0" w:line="420" w:lineRule="auto"/>
        <w:ind w:firstLine="420"/>
        <w:jc w:val="both"/>
      </w:pPr>
      <w:r>
        <w: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w:t>
      </w:r>
    </w:p>
    <w:p ns2:paraId="587F4C6B">
      <w:pPr>
        <w:spacing w:before="50" w:after="50" w:line="420" w:lineRule="auto"/>
        <w:jc w:val="left"/>
      </w:pPr>
      <w:r>
        <w:t>基于上述分析，本文提出第一个研究假设：</w:t>
      </w:r>
    </w:p>
    <w:p ns2:paraId="496EF862">
      <w:pPr>
        <w:spacing w:before="0" w:after="0" w:line="420" w:lineRule="auto"/>
        <w:ind w:firstLine="420"/>
        <w:jc w:val="both"/>
      </w:pPr>
      <w:r>
        <w:t>假说H1：政务服务数字化改革暴露强度越高，PPP项目推进结构由采购/准备阶段向执行阶段发生相对份额重组的程度越高。</w:t>
      </w:r>
    </w:p>
    <w:p ns2:paraId="31900A7E">
      <w:pPr>
        <w:spacing w:before="160" w:after="60" w:line="420" w:lineRule="auto"/>
        <w:jc w:val="left"/>
      </w:pPr>
      <w:r>
        <w:t>3.2 接口优先、前端规范先行与阶段性传导</w:t>
      </w:r>
    </w:p>
    <w:p ns2:paraId="67455CD8">
      <w:pPr>
        <w:spacing w:before="0" w:after="0" w:line="420" w:lineRule="auto"/>
        <w:ind w:firstLine="420"/>
        <w:jc w:val="both"/>
      </w:pPr>
      <w: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w:t>
      </w:r>
    </w:p>
    <w:p ns2:paraId="6578DD09">
      <w:pPr>
        <w:spacing w:before="0" w:after="0" w:line="420" w:lineRule="auto"/>
        <w:ind w:firstLine="420"/>
        <w:jc w:val="both"/>
      </w:pPr>
      <w:r>
        <w: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w:t>
      </w:r>
    </w:p>
    <w:p ns2:paraId="49AE620C">
      <w:pPr>
        <w:spacing w:before="0" w:after="0" w:line="420" w:lineRule="auto"/>
        <w:ind w:firstLine="420"/>
        <w:jc w:val="both"/>
      </w:pPr>
      <w:r>
        <w: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w:t>
      </w:r>
    </w:p>
    <w:p ns2:paraId="1DEC935D">
      <w:pPr>
        <w:spacing w:before="0" w:after="0" w:line="420" w:lineRule="auto"/>
        <w:ind w:firstLine="420"/>
        <w:jc w:val="both"/>
      </w:pPr>
      <w: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w:t>
      </w:r>
    </w:p>
    <w:p ns2:paraId="22C0CE5F">
      <w:pPr>
        <w:spacing w:before="0" w:after="0" w:line="420" w:lineRule="auto"/>
        <w:ind w:firstLine="420"/>
        <w:jc w:val="both"/>
      </w:pPr>
      <w:r>
        <w: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w:t>
      </w:r>
    </w:p>
    <w:p ns2:paraId="2E9AB6EF">
      <w:pPr>
        <w:spacing w:before="50" w:after="50" w:line="420" w:lineRule="auto"/>
        <w:jc w:val="left"/>
      </w:pPr>
      <w:r>
        <w:t>基于上述分析，本文提出第二个研究假设：</w:t>
      </w:r>
    </w:p>
    <w:p ns2:paraId="78BA2F7C">
      <w:pPr>
        <w:spacing w:before="0" w:after="0" w:line="420" w:lineRule="auto"/>
        <w:ind w:firstLine="420"/>
        <w:jc w:val="both"/>
      </w:pPr>
      <w:r>
        <w:t>假说H2：政务服务数字化改革暴露强度越高，数字治理接口与前端规范准入相关的治理环境越可能率先响应，并通过阶段性传导与PPP项目推进结构重组相关联，但完整、稳定的强中介链条未必成立。</w:t>
      </w:r>
    </w:p>
    <w:p ns2:paraId="549CC562">
      <w:pPr>
        <w:spacing w:before="160" w:after="60" w:line="420" w:lineRule="auto"/>
        <w:jc w:val="left"/>
      </w:pPr>
      <w:r>
        <w:t>3.3 项目级风险识别的扩展命题与理论边界</w:t>
      </w:r>
    </w:p>
    <w:p ns2:paraId="4584768D">
      <w:pPr>
        <w:spacing w:before="0" w:after="0" w:line="420" w:lineRule="auto"/>
        <w:ind w:firstLine="420"/>
        <w:jc w:val="both"/>
      </w:pPr>
      <w:r>
        <w: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ns2:paraId="6B908506">
      <w:pPr>
        <w:spacing w:before="0" w:after="0" w:line="420" w:lineRule="auto"/>
        <w:ind w:firstLine="420"/>
        <w:jc w:val="both"/>
      </w:pPr>
      <w: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w:t>
      </w:r>
    </w:p>
    <w:p ns2:paraId="7AFAD483">
      <w:pPr>
        <w:spacing w:before="0" w:after="0" w:line="420" w:lineRule="auto"/>
        <w:ind w:firstLine="420"/>
        <w:jc w:val="both"/>
      </w:pPr>
      <w: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ns2:paraId="7A1D6B8D">
      <w:pPr>
        <w:spacing w:before="0" w:after="0" w:line="420" w:lineRule="auto"/>
        <w:ind w:firstLine="420"/>
        <w:jc w:val="both"/>
      </w:pPr>
      <w: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w:t>
      </w:r>
    </w:p>
    <w:p ns2:paraId="1EF45851">
      <w:pPr>
        <w:spacing w:before="0" w:after="0" w:line="420" w:lineRule="auto"/>
        <w:ind w:firstLine="420"/>
        <w:jc w:val="both"/>
      </w:pPr>
      <w:r>
        <w: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w:t>
      </w:r>
    </w:p>
    <w:p ns2:paraId="35579BB8">
      <w:pPr>
        <w:spacing w:before="0" w:after="0" w:line="420" w:lineRule="auto"/>
        <w:ind w:firstLine="420"/>
        <w:jc w:val="both"/>
      </w:pPr>
      <w:r>
        <w: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ns2:paraId="202B20E1">
      <w:pPr>
        <w:spacing w:before="160" w:after="60" w:line="420" w:lineRule="auto"/>
        <w:jc w:val="left"/>
      </w:pPr>
      <w:r>
        <w:t>4 研究设计</w:t>
      </w:r>
    </w:p>
    <w:p ns2:paraId="107004AD">
      <w:pPr>
        <w:spacing w:before="100" w:after="40" w:line="420" w:lineRule="auto"/>
        <w:jc w:val="left"/>
      </w:pPr>
      <w:r>
        <w:t>4.1 数据来源与样本结构</w:t>
      </w:r>
    </w:p>
    <w:p ns2:paraId="50857982">
      <w:pPr>
        <w:spacing w:before="0" w:after="0" w:line="420" w:lineRule="auto"/>
        <w:ind w:firstLine="420"/>
        <w:jc w:val="both"/>
      </w:pPr>
      <w: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ns2:paraId="70C32763">
      <w:pPr>
        <w:spacing w:before="0" w:after="0" w:line="420" w:lineRule="auto"/>
        <w:ind w:firstLine="420"/>
        <w:jc w:val="both"/>
      </w:pPr>
      <w: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ns2:paraId="78B5B591">
      <w:pPr>
        <w:spacing w:before="0" w:after="40" w:line="420" w:lineRule="auto"/>
        <w:jc w:val="center"/>
      </w:pPr>
      <w: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ns2: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ns2: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ns2: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ns2: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ns2: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ns2: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ns2: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ns2: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ns2: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ns2: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ns2: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ns2: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ns2: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ns2: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ns2: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ns2: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ns2: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ns2:paraId="127EC8B6">
      <w:pPr>
        <w:spacing w:before="0" w:after="0" w:line="420" w:lineRule="auto"/>
        <w:ind w:firstLine="420"/>
        <w:jc w:val="both"/>
      </w:pPr>
      <w:r>
        <w: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w:t>
      </w:r>
    </w:p>
    <w:p ns2:paraId="5150231C">
      <w:pPr>
        <w:spacing w:before="0" w:after="0" w:line="420" w:lineRule="auto"/>
        <w:ind w:firstLine="420"/>
        <w:jc w:val="both"/>
      </w:pPr>
    </w:p>
    <w:p ns2:paraId="58190B4F">
      <w:pPr>
        <w:spacing w:before="0" w:after="0" w:line="420" w:lineRule="auto"/>
        <w:ind w:firstLine="420"/>
        <w:jc w:val="both"/>
      </w:pPr>
    </w:p>
    <w:p ns2:paraId="5C8689EA">
      <w:pPr>
        <w:spacing w:before="0" w:after="0" w:line="420" w:lineRule="auto"/>
        <w:ind w:firstLine="420"/>
        <w:jc w:val="both"/>
      </w:pPr>
    </w:p>
    <w:p ns2:paraId="57E31665">
      <w:pPr>
        <w:spacing w:before="0" w:after="0" w:line="420" w:lineRule="auto"/>
        <w:ind w:firstLine="420"/>
        <w:jc w:val="both"/>
      </w:pPr>
    </w:p>
    <w:p ns2:paraId="4D6F8E3C">
      <w:pPr>
        <w:spacing w:before="0" w:after="0" w:line="420" w:lineRule="auto"/>
        <w:ind w:firstLine="420"/>
        <w:jc w:val="both"/>
      </w:pPr>
    </w:p>
    <w:p ns2:paraId="12316BE1">
      <w:pPr>
        <w:spacing w:before="0" w:after="0" w:line="420" w:lineRule="auto"/>
        <w:ind w:firstLine="420"/>
        <w:jc w:val="both"/>
      </w:pPr>
    </w:p>
    <w:p ns2:paraId="6DA916B7">
      <w:pPr>
        <w:spacing w:before="0" w:after="0" w:line="420" w:lineRule="auto"/>
        <w:ind w:firstLine="420"/>
        <w:jc w:val="both"/>
      </w:pPr>
    </w:p>
    <w:p ns2:paraId="75152F6C">
      <w:pPr>
        <w:spacing w:before="0" w:after="0" w:line="420" w:lineRule="auto"/>
        <w:ind w:firstLine="420"/>
        <w:jc w:val="both"/>
      </w:pPr>
    </w:p>
    <w:p ns2:paraId="1ECABF05">
      <w:pPr>
        <w:spacing w:before="0" w:after="0" w:line="420" w:lineRule="auto"/>
        <w:ind w:firstLine="420"/>
        <w:jc w:val="both"/>
      </w:pPr>
    </w:p>
    <w:p ns2:paraId="45FA0671">
      <w:pPr>
        <w:spacing w:before="0" w:after="0" w:line="420" w:lineRule="auto"/>
        <w:ind w:firstLine="420"/>
        <w:jc w:val="both"/>
      </w:pPr>
    </w:p>
    <w:p ns2:paraId="1A3B8C3A">
      <w:pPr>
        <w:spacing w:before="0" w:after="0" w:line="420" w:lineRule="auto"/>
        <w:ind w:firstLine="420"/>
        <w:jc w:val="both"/>
      </w:pPr>
    </w:p>
    <w:p ns2:paraId="7BA403B2">
      <w:pPr>
        <w:spacing w:before="0" w:after="0" w:line="420" w:lineRule="auto"/>
        <w:ind w:firstLine="420"/>
        <w:jc w:val="both"/>
      </w:pPr>
    </w:p>
    <w:p ns2:paraId="3F4B0680">
      <w:pPr>
        <w:spacing w:before="0" w:after="0" w:line="420" w:lineRule="auto"/>
        <w:ind w:firstLine="420"/>
        <w:jc w:val="both"/>
      </w:pPr>
    </w:p>
    <w:p ns2:paraId="4FE3E300">
      <w:pPr>
        <w:spacing w:before="0" w:after="0" w:line="420" w:lineRule="auto"/>
        <w:ind w:firstLine="420"/>
        <w:jc w:val="both"/>
      </w:pPr>
    </w:p>
    <w:p ns2:paraId="316B083A">
      <w:pPr>
        <w:spacing w:before="0" w:after="0" w:line="420" w:lineRule="auto"/>
        <w:ind w:firstLine="420"/>
        <w:jc w:val="both"/>
      </w:pPr>
    </w:p>
    <w:p ns2:paraId="4BB0B8C1">
      <w:pPr>
        <w:spacing w:before="0" w:after="0" w:line="420" w:lineRule="auto"/>
        <w:ind w:firstLine="420"/>
        <w:jc w:val="both"/>
      </w:pPr>
    </w:p>
    <w:p ns2:paraId="5F72921B">
      <w:pPr>
        <w:spacing w:before="0" w:after="0" w:line="420" w:lineRule="auto"/>
        <w:ind w:firstLine="420"/>
        <w:jc w:val="both"/>
      </w:pPr>
    </w:p>
    <w:p ns2:paraId="7F4EB822">
      <w:pPr>
        <w:spacing w:before="0" w:after="0" w:line="420" w:lineRule="auto"/>
        <w:ind w:firstLine="420"/>
        <w:jc w:val="both"/>
      </w:pPr>
    </w:p>
    <w:p ns2:paraId="0095DCF9">
      <w:pPr>
        <w:spacing w:before="0" w:after="0" w:line="420" w:lineRule="auto"/>
        <w:ind w:firstLine="420"/>
        <w:jc w:val="both"/>
      </w:pPr>
    </w:p>
    <w:p ns2:paraId="75BD4D39">
      <w:pPr>
        <w:spacing w:before="0" w:after="0" w:line="420" w:lineRule="auto"/>
        <w:ind w:firstLine="420"/>
        <w:jc w:val="both"/>
      </w:pPr>
    </w:p>
    <w:p ns2:paraId="31405C7C">
      <w:pPr>
        <w:spacing w:before="0" w:after="0" w:line="420" w:lineRule="auto"/>
        <w:ind w:firstLine="420"/>
        <w:jc w:val="both"/>
      </w:pPr>
    </w:p>
    <w:p ns2:paraId="51FC0AF5">
      <w:pPr>
        <w:spacing w:before="0" w:after="0" w:line="420" w:lineRule="auto"/>
        <w:ind w:firstLine="420"/>
        <w:jc w:val="both"/>
      </w:pPr>
    </w:p>
    <w:p ns2:paraId="1D58A06F">
      <w:pPr>
        <w:spacing w:before="0" w:after="40" w:line="420" w:lineRule="auto"/>
        <w:jc w:val="center"/>
      </w:pPr>
      <w: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ns2: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ns2: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ns2: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ns2: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ns2: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ns2: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ns2: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ns2: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ns2:paraId="68357A71">
      <w:pPr>
        <w:spacing w:before="100" w:after="40" w:line="420" w:lineRule="auto"/>
        <w:jc w:val="left"/>
      </w:pPr>
      <w:r>
        <w:t>4.2 文本分析与变量落地</w:t>
      </w:r>
    </w:p>
    <w:p ns2:paraId="61F65DEB">
      <w:pPr>
        <w:spacing w:before="0" w:after="0" w:line="420" w:lineRule="auto"/>
        <w:ind w:firstLine="420"/>
        <w:jc w:val="both"/>
      </w:pPr>
      <w: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ns2:paraId="52911E8E">
      <w:pPr>
        <w:spacing w:before="0" w:after="0" w:line="420" w:lineRule="auto"/>
        <w:ind w:firstLine="420"/>
        <w:jc w:val="both"/>
      </w:pPr>
      <w: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ns2:paraId="75C7868A">
      <w:pPr>
        <w:spacing w:before="0" w:after="0" w:line="420" w:lineRule="auto"/>
        <w:ind w:firstLine="420"/>
        <w:jc w:val="both"/>
      </w:pPr>
    </w:p>
    <w:p ns2:paraId="112EFDEB">
      <w:pPr>
        <w:spacing w:before="0" w:after="0" w:line="420" w:lineRule="auto"/>
        <w:ind w:firstLine="420"/>
        <w:jc w:val="both"/>
      </w:pPr>
    </w:p>
    <w:p ns2:paraId="66029298">
      <w:pPr>
        <w:spacing w:before="0" w:after="0" w:line="420" w:lineRule="auto"/>
        <w:ind w:firstLine="420"/>
        <w:jc w:val="both"/>
      </w:pPr>
    </w:p>
    <w:p ns2:paraId="4127FEE5">
      <w:pPr>
        <w:spacing w:before="0" w:after="0" w:line="420" w:lineRule="auto"/>
        <w:ind w:firstLine="420"/>
        <w:jc w:val="both"/>
      </w:pPr>
    </w:p>
    <w:p ns2:paraId="1532047E">
      <w:pPr>
        <w:spacing w:before="0" w:after="0" w:line="420" w:lineRule="auto"/>
        <w:ind w:firstLine="420"/>
        <w:jc w:val="both"/>
      </w:pPr>
    </w:p>
    <w:p ns2:paraId="4FD5D492">
      <w:pPr>
        <w:spacing w:before="0" w:after="0" w:line="420" w:lineRule="auto"/>
        <w:ind w:firstLine="420"/>
        <w:jc w:val="both"/>
      </w:pPr>
    </w:p>
    <w:p ns2:paraId="55E91CA8">
      <w:pPr>
        <w:spacing w:before="0" w:after="0" w:line="420" w:lineRule="auto"/>
        <w:ind w:firstLine="420"/>
        <w:jc w:val="both"/>
      </w:pPr>
    </w:p>
    <w:p ns2:paraId="726CAFC3">
      <w:pPr>
        <w:spacing w:before="0" w:after="0" w:line="420" w:lineRule="auto"/>
        <w:ind w:firstLine="420"/>
        <w:jc w:val="both"/>
      </w:pPr>
    </w:p>
    <w:p ns2:paraId="5D053928">
      <w:pPr>
        <w:spacing w:before="0" w:after="0" w:line="420" w:lineRule="auto"/>
        <w:ind w:firstLine="420"/>
        <w:jc w:val="both"/>
      </w:pPr>
    </w:p>
    <w:p ns2:paraId="2DC54A27">
      <w:pPr>
        <w:spacing w:before="0" w:after="0" w:line="420" w:lineRule="auto"/>
        <w:ind w:firstLine="420"/>
        <w:jc w:val="both"/>
      </w:pPr>
    </w:p>
    <w:p ns2:paraId="517AD08C">
      <w:pPr>
        <w:spacing w:before="0" w:after="0" w:line="420" w:lineRule="auto"/>
        <w:ind w:firstLine="420"/>
        <w:jc w:val="both"/>
      </w:pPr>
    </w:p>
    <w:p ns2:paraId="4ECA8209">
      <w:pPr>
        <w:spacing w:before="0" w:after="0" w:line="420" w:lineRule="auto"/>
        <w:ind w:firstLine="420"/>
        <w:jc w:val="both"/>
      </w:pPr>
    </w:p>
    <w:p ns2:paraId="713622C7">
      <w:pPr>
        <w:spacing w:before="0" w:after="40" w:line="420" w:lineRule="auto"/>
        <w:jc w:val="center"/>
      </w:pPr>
      <w: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ns2: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ns2: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2: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ns2: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ns2: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ns2: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ns2: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2: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ns2: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ns2: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ns2: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ns2: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ns2: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ns2: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ns2: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ns2: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ns2: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ns2: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ns2: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ns2: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ns2: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ns2: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ns2: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ns2: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ns2: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ns2: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ns2: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ns2: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ns2: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ns2: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ns2: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ns2: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ns2: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ns2: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ns2: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ns2: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ns2: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ns2: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ns2: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ns2: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ns2: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ns2: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ns2: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ns2: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ns2: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ns2: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ns2: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ns2: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ns2: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ns2: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ns2: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ns2: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ns2: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ns2: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ns2: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ns2: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ns2: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ns2: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ns2: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ns2: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ns2: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ns2: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ns2: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ns2: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ns2: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ns2: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ns2:paraId="76019701">
      <w:pPr>
        <w:spacing w:before="0" w:after="0" w:line="420" w:lineRule="auto"/>
        <w:ind w:firstLine="420"/>
        <w:jc w:val="both"/>
      </w:pPr>
      <w:r>
        <w: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w:t>
      </w:r>
    </w:p>
    <w:p ns2:paraId="61F15984">
      <w:pPr>
        <w:spacing w:before="60" w:after="60" w:line="360" w:lineRule="auto"/>
        <w:jc w:val="center"/>
      </w:pPr>
      <w:r>
        <w: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w:drawing>
      </w:r>
    </w:p>
    <w:p ns2:paraId="408A08DA">
      <w:pPr>
        <w:spacing w:before="0" w:after="60" w:line="420" w:lineRule="auto"/>
        <w:jc w:val="center"/>
      </w:pPr>
      <w: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ns2:paraId="472CB685">
      <w:pPr>
        <w:spacing w:before="60" w:after="60" w:line="360" w:lineRule="auto"/>
        <w:jc w:val="center"/>
      </w:pPr>
      <w:r>
        <w: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w:drawing>
      </w:r>
    </w:p>
    <w:p ns2:paraId="6620257A">
      <w:pPr>
        <w:spacing w:before="100" w:after="40" w:line="420" w:lineRule="auto"/>
        <w:jc w:val="left"/>
      </w:pPr>
      <w:r>
        <w:t>4.3 处理变量、结果变量与控制变量</w:t>
      </w:r>
    </w:p>
    <w:p ns2:paraId="77BE2D78">
      <w:pPr>
        <w:spacing w:before="0" w:after="0" w:line="420" w:lineRule="auto"/>
        <w:ind w:firstLine="420"/>
        <w:jc w:val="both"/>
      </w:pPr>
      <w:r>
        <w:t xml:space="preserve">在主识别部分，本文的核心处理变量是 treat_share。该变量以省—年为单位，由城市—年处理字段聚合而成，用于度量某一省份在某一年份受到数字化改革覆盖的处理强度。其精确定义和替代处理口径如下列公式编辑器对象所示；后两者仅作为替代处理口径或稳健性检验使用，不进入全文主结论。</w:t>
      </w:r>
    </w:p>
    <w:p>
      <w:pPr>
        <w:jc w:val="center"/>
      </w:pPr>
      <m:oMathPara>
        <m:oMath>
          <m:r>
            <m:t>treat_shareₚₜ = treated_city_countₚₜ / city_nₚₜ</m:t>
          </m:r>
        </m:oMath>
      </m:oMathPara>
    </w:p>
    <w:p>
      <w:pPr>
        <w:jc w:val="center"/>
      </w:pPr>
      <m:oMathPara>
        <m:oMath>
          <m:r>
            <m:t>did_intensityₚₜ = postₜ × treat_shareₚₜ</m:t>
          </m:r>
        </m:oMath>
      </m:oMathPara>
    </w:p>
    <w:p>
      <w:pPr>
        <w:jc w:val="center"/>
      </w:pPr>
      <m:oMathPara>
        <m:oMath>
          <m:r>
            <m:t>did_anyₚₜ = 1(did_intensityₚₜ &gt; 0)</m:t>
          </m:r>
        </m:oMath>
      </m:oMathPara>
    </w:p>
    <w:p>
      <w:r>
        <w:t xml:space="preserve">【v2f工作输入确认】按照人工确认，v2f 将 implied city-slot registry 作为 working analysis input 使用，将 province-year audit 作为 working threshold/audit proxy 使用。该处理使本轮能够继续完成聚合链条审计和后续可执行数据分析；但所有相关输出仍必须标注 implied/proxy 身份，不能写成真实城市名单或原始政策阈值底表，也不能据此新增城市层面因果结论。【v2f新增处理链条审计说明】为增强处理变量构造的可审查性，v2f 进一步把 v2d 已落地的省年 treat_share 重构表转化为两类审计资产：其一是 province-year 层面的 treat_share 聚合审计表，其二是在缺少真实城市名单和阈值底表时生成的 implied city-slot registry。该 registry 只把每个省年单元展开为若干“城市席位”，并按 treated_city_count_implied 回算覆盖席位；它不是原始城市名单，也不改变本文以 treat_share 多期 DID/TWFE 为唯一主识别的结构。当前权重按等权 city-slot 处理，理由是项目文件未提供可核实的人口、财政、项目量或投资额权重底表，且现有省年 treat_share 与城市计数份额相一致。</w:t>
      </w:r>
    </w:p>
    <w:p ns2:paraId="7EA9AC05">
      <w:pPr>
        <w:spacing w:before="0" w:after="0" w:line="420" w:lineRule="auto"/>
        <w:ind w:firstLine="420"/>
        <w:jc w:val="both"/>
      </w:pPr>
      <w:r>
        <w:t>根据第5.1节并表工作簿中的“省份处理时点”工作表，当前口径下多数进入处理的省份首次处理年份为2016年，西藏为2017年；海南、青海和新疆生产建设兵团在当前口径下未进入处理。从文本工程到正式估计样本的流转为：1472份政策文本全文池，经统一筛选保留1307份正式DID文本文档样本，进一步聚合为288个省—年文本单元，再与正式V3主面板对接形成266个省—年观察值，其中262个进入正式回归样本，另有10000个项目级扩展观察值用于第5.7节。更谨慎地说，treat_share在正文中的含义应表述为由城市处理状态聚合形成的省级政策暴露强度，而不是单个城市层面的标准ATT处理指示。本轮修订随附附录A，补充提供province-year层面的treat_share重构表、处理时点表、266→262删样清单以及处理变量精确定义，以增强当前稿件的可复核性；但城市级处理名单和原始阈值底表未在当前仓库显式落地，因此本文只能将这一部分说明为省级重构意义上的复核材料，而不夸大为完整城市级复现包。</w:t>
      </w:r>
    </w:p>
    <w:p ns2:paraId="450D60BB">
      <w:pPr>
        <w:spacing w:before="0" w:after="0" w:line="420" w:lineRule="auto"/>
        <w:ind w:firstLine="420"/>
        <w:jc w:val="both"/>
      </w:pPr>
      <w: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w:t>
      </w:r>
    </w:p>
    <w:p ns2:paraId="15049706">
      <w:pPr>
        <w:spacing w:before="0" w:after="0" w:line="420" w:lineRule="auto"/>
        <w:ind w:firstLine="420"/>
        <w:jc w:val="both"/>
      </w:pPr>
      <w:r>
        <w: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ns2:paraId="3448AB57">
      <w:pPr>
        <w:spacing w:before="0" w:after="0" w:line="420" w:lineRule="auto"/>
        <w:ind w:firstLine="420"/>
        <w:jc w:val="both"/>
      </w:pPr>
      <w: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ns2:paraId="2627F338">
      <w:pPr>
        <w:spacing w:before="0" w:after="0" w:line="420" w:lineRule="auto"/>
        <w:ind w:firstLine="420"/>
        <w:jc w:val="both"/>
      </w:pPr>
      <w:r>
        <w: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w:t>
      </w:r>
    </w:p>
    <w:p ns2:paraId="33DB0F42">
      <w:pPr>
        <w:spacing w:before="100" w:after="40" w:line="420" w:lineRule="auto"/>
        <w:jc w:val="left"/>
      </w:pPr>
      <w:r>
        <w:t>4.4 计量模型与识别思路</w:t>
      </w:r>
    </w:p>
    <w:p ns2:paraId="3B3BC3BA">
      <w:pPr>
        <w:spacing w:before="0" w:after="0" w:line="420" w:lineRule="auto"/>
        <w:ind w:firstLine="420"/>
        <w:jc w:val="both"/>
      </w:pPr>
      <w:r>
        <w:t>本文的主识别模型是以treat_share为核心处理变量的多期DID/TWFE模型。形式上，本文估计的核心方程可以写为：</w:t>
      </w:r>
    </w:p>
    <w:p>
      <w:pPr>
        <w:jc w:val="center"/>
      </w:pPr>
      <m:oMathPara>
        <m:oMath>
          <m:r>
            <m:t>Yₚₜ = β treat_shareₚₜ + γ′Xₚₜ + μₚ + λₜ + εₚₜ</m:t>
          </m:r>
        </m:oMath>
      </m:oMathPara>
    </w:p>
    <w:p ns2:paraId="7EA9AC05">
      <w:pPr>
        <w:spacing w:before="0" w:after="0" w:line="420" w:lineRule="auto"/>
        <w:ind w:firstLine="420"/>
        <w:jc w:val="both"/>
      </w:pPr>
      <w:r>
        <w:t xml:space="preserve">其中，结果变量分别对应 exec_share、proc_share 和 ppp_quality_zindex 等省级结果；核心处理变量表示省份在特定年份的数字化改革暴露强度；控制变量、地区固定效应、年份固定效应和省级聚类标准误均沿用正式主面板统一口径。之所以将这一设定作为唯一主识别，原因有二：一是当前正式结果和写作总控文档都明确将 treat_share 多期 DID/TWFE 设定为全文唯一主模型；二是这一模型与本文“改革冲击—治理过程变化—推进结构调整”的问题结构最为契合。</w:t>
      </w:r>
    </w:p>
    <w:p ns2:paraId="1A6E6399">
      <w:pPr>
        <w:spacing w:before="0" w:after="0" w:line="420" w:lineRule="auto"/>
        <w:ind w:firstLine="420"/>
        <w:jc w:val="both"/>
      </w:pPr>
      <w:r>
        <w:t>这一模型中的β更稳妥地应解释为：在控制地区固定效应、年份固定效应和一组正式主面板控制变量后，省级数字化改革暴露强度与PPP推进结构或治理结果之间的平均条件关联，而不是严格意义上的单一处理平均效应。原因在于，treat_share是连续暴露强度变量，处理批次又高度集中在2016年前后，did_any与did_intensity只能承担替代处理口径和诊断功能。就当前样本而言，正式主面板覆盖2014—2022年、31个省级单元与新疆生产建设兵团，共266个省—年观察值，其中262个进入正式主识别样本；后文所有主结果均以这一口径为基准锚点。</w:t>
      </w:r>
    </w:p>
    <w:p ns2:paraId="774D7076">
      <w:pPr>
        <w:spacing w:before="0" w:after="0" w:line="420" w:lineRule="auto"/>
        <w:ind w:firstLine="420"/>
        <w:jc w:val="both"/>
      </w:pPr>
      <w:r>
        <w:t>需要强调的是，本文对识别强度的处理是克制的。事件研究在本文中只用于说明动态路径和识别边界，不用于声称平行趋势已经成立。考虑到错位处理时点下TWFE动态系数的解释存在额外边界，趋势调整型DID、逐省剔除和wild cluster bootstrap共同承担主识别防守功能；did_any与did_intensity仅作为连续处理变量的替代口径；stack DID、cohort ATT、PSM-DID、DML、候选工具变量和其他替代估计只保留为边界诊断，不改变主识别结构（Sun &amp; Abraham, 2021）。</w:t>
      </w:r>
    </w:p>
    <w:p>
      <w:r>
        <w:t xml:space="preserve">【v2f识别边界补强】与以外生政策批次、司法试点或基础设施落地为处理来源的典型 DID 研究相比，本文的 treat_share 更接近连续暴露强度变量。因此，核心系数应被解释为在地区固定效应、年份固定效应和统一控制变量条件下，省级数字化改革暴露强度与 PPP 推进结构之间的平均条件关联，而不是单一城市或企业层面的标准 ATT。trend-adjusted DID、逐省剔除、wild cluster bootstrap、stack DID、cohort ATT、PSM-DID、DML 和候选工具变量均只能服务于防守性稳健性或边界诊断，不能被写成新的主识别。</w:t>
      </w:r>
    </w:p>
    <w:p ns2:paraId="3C96DB9E">
      <w:pPr>
        <w:spacing w:before="0" w:after="0" w:line="420" w:lineRule="auto"/>
        <w:ind w:firstLine="420"/>
        <w:jc w:val="both"/>
      </w:pPr>
      <w:r>
        <w:t>从公共管理研究的角度看，这样的识别安排意味着本文并不试图用更复杂的方法覆盖一切疑问，而是将不同证据放在各自恰当的位置上：主识别回答“改革是否首先改善了推进结构”，政策文本证据线索回答“改革首先改动了哪些治理接口与制度表达”，稳健性检验回答“主结果是否在更严格设定下仍可防守”，扩展分析回答“文本与结构变量是否还能服务于项目级辅助识别”。这种分层安排，构成了后文实证分析的基本结构。</w:t>
      </w:r>
    </w:p>
    <w:p ns2:paraId="7EA9AC05">
      <w:pPr>
        <w:spacing w:before="0" w:after="0" w:line="420" w:lineRule="auto"/>
        <w:ind w:firstLine="420"/>
        <w:jc w:val="both"/>
      </w:pPr>
      <w:r>
        <w:t>同时需要说明，机制与异质性部分主要依托当前项目归档中的既有正式辅助结果，其任务在于补充解释和提示适用边界，而不与表4主识别处于同一证据层级。尤其是A/B/C/D维度与treat_share都来自政策文本工程，故其更适合被理解为制度表达和治理重心重分布的文本证据线索，而不是与表4并列的第二套识别体系。本文因此不将这些结果写成第二主识别，而只在其能够支持的范围内作辅助性讨论。</w:t>
      </w:r>
    </w:p>
    <w:p ns2:paraId="41817273">
      <w:pPr>
        <w:spacing w:before="160" w:after="60" w:line="420" w:lineRule="auto"/>
        <w:jc w:val="left"/>
      </w:pPr>
      <w:r>
        <w:t>5 实证结果与分析</w:t>
      </w:r>
    </w:p>
    <w:p ns2:paraId="573CDD58">
      <w:pPr>
        <w:spacing w:before="100" w:after="40" w:line="420" w:lineRule="auto"/>
        <w:jc w:val="left"/>
      </w:pPr>
      <w:r>
        <w:t>5.1 描述性事实与治理过程背景</w:t>
      </w:r>
    </w:p>
    <w:p ns2:paraId="3909E3AF">
      <w:pPr>
        <w:spacing w:before="0" w:after="0" w:line="420" w:lineRule="auto"/>
        <w:ind w:firstLine="420"/>
        <w:jc w:val="both"/>
      </w:pPr>
      <w: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ns2:paraId="5F796F87">
      <w:pPr>
        <w:spacing w:before="0" w:after="0" w:line="420" w:lineRule="auto"/>
        <w:ind w:firstLine="420"/>
        <w:jc w:val="both"/>
      </w:pPr>
      <w: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w:t>
      </w:r>
    </w:p>
    <w:p ns2:paraId="372507D8">
      <w:pPr>
        <w:spacing w:before="60" w:after="60" w:line="360" w:lineRule="auto"/>
        <w:jc w:val="center"/>
      </w:pPr>
      <w:r>
        <w: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w:drawing>
      </w:r>
    </w:p>
    <w:p ns2:paraId="0CE02DDB">
      <w:pPr>
        <w:spacing w:before="0" w:after="60" w:line="420" w:lineRule="auto"/>
        <w:jc w:val="center"/>
      </w:pPr>
      <w: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ns2:paraId="4766A052">
      <w:pPr>
        <w:spacing w:before="0" w:after="0" w:line="420" w:lineRule="auto"/>
        <w:ind w:firstLine="420"/>
        <w:jc w:val="both"/>
      </w:pPr>
      <w: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ns2:paraId="3D8A4E4F">
      <w:pPr>
        <w:spacing w:before="60" w:after="60" w:line="360" w:lineRule="auto"/>
        <w:jc w:val="center"/>
      </w:pPr>
      <w:r>
        <w: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w:drawing>
      </w:r>
    </w:p>
    <w:p ns2:paraId="4C36B422">
      <w:pPr>
        <w:spacing w:before="60" w:after="60" w:line="360" w:lineRule="auto"/>
        <w:jc w:val="center"/>
        <w:rPr>
          <w:rFonts w:hint="eastAsia" w:eastAsia="宋体"/>
          <w:lang w:eastAsia="zh-CN"/>
        </w:rPr>
      </w:pPr>
      <w:r>
        <w:rPr>
          <w:rFonts w:hint="eastAsia" w:eastAsia="宋体"/>
          <w:lang w:eastAsia="zh-CN"/>
        </w:rPr>
        <w: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w:drawing>
      </w:r>
    </w:p>
    <w:p ns2:paraId="137712D3">
      <w:pPr>
        <w:spacing w:before="100" w:after="40" w:line="420" w:lineRule="auto"/>
        <w:jc w:val="left"/>
      </w:pPr>
      <w:r>
        <w:t>5.2 基准结果</w:t>
      </w:r>
    </w:p>
    <w:p ns2:paraId="480BBAA2">
      <w:pPr>
        <w:spacing w:before="0" w:after="0" w:line="420" w:lineRule="auto"/>
        <w:ind w:firstLine="420"/>
        <w:jc w:val="both"/>
      </w:pPr>
      <w: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ns2:paraId="64C18C6B">
      <w:pPr>
        <w:spacing w:before="0" w:after="0" w:line="420" w:lineRule="auto"/>
        <w:ind w:firstLine="420"/>
        <w:jc w:val="both"/>
      </w:pPr>
      <w:r>
        <w:t>表4报告了基准多期DID/TWFE结果。结果显示，在地区和年份固定效应框架下，treat_share对exec_share的估计系数为0.3556，在1%水平上显著；对proc_share的估计系数为-0.4023，同样在1%水平上显著。两者共同指向同一个结论：在基准TWFE规格下，改革暴露强度较高的地区更可能出现由采购阶段向执行阶段的相对份额重组。更稳妥地说，这里识别到的是推进结构重组的平均条件关联，而不是数字化改革已经对PPP治理产生全面、稳定因果改善的证明。</w:t>
      </w:r>
    </w:p>
    <w:p ns2:paraId="7EA9AC05">
      <w:pPr>
        <w:spacing w:before="0" w:after="0" w:line="420" w:lineRule="auto"/>
        <w:ind w:firstLine="420"/>
        <w:jc w:val="both"/>
      </w:pPr>
      <w:r>
        <w:t xml:space="preserve">为回应份额型因变量的加总约束，本文进一步在与表4相同的262个正式估计观测上补充构造执行/采购对数比率指标。该指标的数学形式如下列公式编辑器对象所示。考虑到样本中存在零份额情形，本轮补充估计以执行阶段与采购阶段最小正份额的一半作为连续性修正；在与表4一致的地区固定效应、年份固定效应、省级聚类和控制变量设定下，相关结果只作为构成性补强，而不是替代正式主规格的第二主模型。</w:t>
      </w:r>
    </w:p>
    <w:p>
      <w:pPr>
        <w:jc w:val="center"/>
      </w:pPr>
      <m:oMathPara>
        <m:oMath>
          <m:r>
            <m:t>log_ratioₚₜ = log((exec_shareₚₜ + c) / (proc_shareₚₜ + c))</m:t>
          </m:r>
        </m:oMath>
      </m:oMathPara>
    </w:p>
    <w:p>
      <w:r>
        <w:t xml:space="preserve">【v2f份额型结果边界】执行阶段占比上升与采购阶段占比下降具有构成性联系，因此本文不把二者简单写作相互独立的两项结果。执行/采购对数比率补充估计用于回应份额型因变量的加总约束，但它仍属于构成性补强，不替代表 4 的 treat_share TWFE 主结果。后续如进一步采用 fractional response 或 compositional robustness，应继续作为防守层而非第二主模型。</w:t>
      </w:r>
    </w:p>
    <w:p ns2:paraId="5714222D">
      <w:pPr>
        <w:spacing w:before="0" w:after="40" w:line="420" w:lineRule="auto"/>
        <w:jc w:val="center"/>
      </w:pPr>
      <w:r>
        <w: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ns2: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ns2: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ns2: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ns2: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ns2: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ns2: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ns2: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ns2: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ns2:paraId="362FEDA8">
      <w:pPr>
        <w:spacing w:before="0" w:after="0" w:line="420" w:lineRule="auto"/>
        <w:ind w:firstLine="420"/>
        <w:jc w:val="both"/>
      </w:pPr>
      <w:r>
        <w:t>基准结果对公共管理研究的含义在于，数字化改革的现实作用更接近于改善政府内部流程衔接和项目推进程序，而非立即改变所有治理结果。与此同时，也必须保持边界控制：表4及对数比率补充估计共同支持的是推进结构和治理过程的平均条件关联，不支持将改革表述为“全面改善PPP治理质量”的强断言。</w:t>
      </w:r>
    </w:p>
    <w:p ns2:paraId="25B069EB">
      <w:pPr>
        <w:spacing w:before="60" w:after="60" w:line="360" w:lineRule="auto"/>
        <w:jc w:val="center"/>
      </w:pPr>
      <w:r>
        <w: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w:drawing>
      </w:r>
    </w:p>
    <w:p ns2:paraId="515580B5">
      <w:pPr>
        <w:spacing w:before="100" w:after="40" w:line="420" w:lineRule="auto"/>
        <w:jc w:val="left"/>
      </w:pPr>
      <w:r>
        <w:t>5.3 动态路径与识别边界</w:t>
      </w:r>
    </w:p>
    <w:p ns2:paraId="7EF0702B">
      <w:pPr>
        <w:spacing w:before="0" w:after="0" w:line="420" w:lineRule="auto"/>
        <w:ind w:firstLine="420"/>
        <w:jc w:val="both"/>
      </w:pPr>
      <w: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ns2:paraId="2E4A3FBC">
      <w:pPr>
        <w:spacing w:before="0" w:after="0" w:line="420" w:lineRule="auto"/>
        <w:ind w:firstLine="420"/>
        <w:jc w:val="both"/>
      </w:pPr>
      <w:r>
        <w: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另一方面，处理后各期系数存在明显波动，且若干时期的方向与表4中的平均效应并不一致。更稳妥的解释因此不是“执行逐步上升、采购相应下降”，而是“动态诊断揭示了平均结构效应之外仍存在时序不平稳和解释边界”。</w:t>
      </w:r>
    </w:p>
    <w:p ns2:paraId="46BD8458">
      <w:pPr>
        <w:spacing w:before="0" w:after="40" w:line="420" w:lineRule="auto"/>
        <w:jc w:val="center"/>
      </w:pPr>
      <w:r>
        <w:t>这一结论并不推翻基准结果，但它对写作口径提出了更严格的约束。第一，事件研究在本文中只能作为时序路径和识别边界的诊断工具，而不能被写成平行趋势已获充分支持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ns2: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ns2: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ns2: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ns2:paraId="45D469A8">
      <w:pPr>
        <w:spacing w:before="60" w:after="60" w:line="360" w:lineRule="auto"/>
        <w:jc w:val="center"/>
      </w:pPr>
      <w:r>
        <w: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w:drawing>
      </w:r>
    </w:p>
    <w:p ns2:paraId="443ECE0B">
      <w:pPr>
        <w:spacing w:before="0" w:after="60" w:line="420" w:lineRule="auto"/>
        <w:jc w:val="center"/>
      </w:pPr>
      <w:r>
        <w: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w:t>
      </w:r>
    </w:p>
    <w:p ns2:paraId="2DD0A4AC">
      <w:pPr>
        <w:spacing w:before="0" w:after="0" w:line="420" w:lineRule="auto"/>
        <w:ind w:firstLine="420"/>
        <w:jc w:val="both"/>
      </w:pPr>
      <w:r>
        <w:t>基于上述动态路径与识别边界，后文进一步引入趋势调整型 DID、逐省剔除诊断和更保守的小样本推断，对推进结构结论在关键识别挑战下的稳定性进行防守性检验。</w:t>
      </w:r>
    </w:p>
    <w:p ns2:paraId="66E241E6">
      <w:pPr>
        <w:spacing w:before="100" w:after="40" w:line="420" w:lineRule="auto"/>
        <w:jc w:val="left"/>
      </w:pPr>
      <w:r>
        <w:t>5.4 政策文本证据线索与阶段性传导</w:t>
      </w:r>
    </w:p>
    <w:p ns2:paraId="24409220">
      <w:pPr>
        <w:spacing w:before="0" w:after="0" w:line="420" w:lineRule="auto"/>
        <w:ind w:firstLine="420"/>
        <w:jc w:val="both"/>
      </w:pPr>
      <w:r>
        <w:t>在确认数字化改革暴露强度与PPP推进结构重组存在稳定条件关联之后，进一步的问题是：这一变化更可能通过哪些治理环节显现。根据第三部分提出的理论框架，这里的核心不是寻找一条完整闭合的强中介链条，而是判断改革是否优先作用于数字治理接口和前端规范环境，并是否存在阶段性传导。考虑到A/B/C/D维度与treat_share都依托政策文本工程，本节不再将相关结果写成独立的“机制检验”，而改写为政策文本证据线索：其任务是说明制度表达和治理重心如何随改革推进而调整，而不是提供与表4并列的第二套因果识别。</w:t>
      </w:r>
    </w:p>
    <w:p>
      <w:r>
        <w:t xml:space="preserve">【v2f机制与文本效度数据依赖确认】独立机制变量并不主要依赖 city-year registry 或处理阈值底表，而依赖审批、公告、项目阶段转换、在线服务或项目里程碑等独立数据。本轮已基于项目级底表生成公告/披露完整度候选 proxy；审批时长、采购到执行间隔、项目退库率、在线服务指数和项目执行周期仍缺少可直接估计的独立字段。文本效度审计同样不依赖 registry/audit，而需要成对人工标注；当前未发现可直接计算 kappa/alpha 的双标注数据，因此只生成数据可得性矩阵，不伪造一致性系数。【v2f独立机制变量边界】A/B/C/D 与 treat_share 均依托政策文本工程，二者之间的关系不能直接解释为来源独立的强机制识别。v2f 因此保留“政策文本证据线索”的写法，并把真正的机制补强留给非文本源变量，例如审批时长、采购到执行间隔、公告披露完整度、项目退库率、在线服务指数和项目执行周期。只有这些变量完成数据构造、口径审计并与正式主面板或项目底表可靠对接后，正文才可新增“独立机制补强”段落。</w:t>
      </w:r>
    </w:p>
    <w:p ns2:paraId="5876C728">
      <w:pPr>
        <w:spacing w:before="0" w:after="0" w:line="420" w:lineRule="auto"/>
        <w:ind w:firstLine="420"/>
        <w:jc w:val="both"/>
        <w:rPr>
          <w:rFonts w:ascii="Times New Roman" w:hAnsi="Times New Roman" w:eastAsia="宋体"/>
          <w:sz w:val="24"/>
          <w:szCs w:val="24"/>
        </w:rPr>
      </w:pPr>
      <w:r>
        <w:t>表5汇总了这组文本证据线索。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相关项对exec_share和proc_share的系数方向与理论预期大体一致，但统计上并不稳定；链式路径中，B_idx→C_idx和C_idx→D_idx两段显著，而A_idx→B_idx不显著；严格中介分解的Sobel检验和Bootstrap区间均未支持稳定中介效应。</w:t>
      </w:r>
    </w:p>
    <w:p ns2:paraId="70ABB4FB">
      <w:pPr>
        <w:spacing w:before="0" w:after="0" w:line="420" w:lineRule="auto"/>
        <w:ind w:firstLine="420"/>
        <w:jc w:val="both"/>
        <w:rPr>
          <w:rFonts w:ascii="Times New Roman" w:hAnsi="Times New Roman" w:eastAsia="宋体"/>
          <w:sz w:val="24"/>
          <w:szCs w:val="24"/>
        </w:rPr>
      </w:pPr>
    </w:p>
    <w:p ns2:paraId="45F6FA7F">
      <w:pPr>
        <w:spacing w:before="0" w:after="0" w:line="420" w:lineRule="auto"/>
        <w:ind w:firstLine="420"/>
        <w:jc w:val="both"/>
        <w:rPr>
          <w:rFonts w:ascii="Times New Roman" w:hAnsi="Times New Roman" w:eastAsia="宋体"/>
          <w:sz w:val="24"/>
          <w:szCs w:val="24"/>
        </w:rPr>
      </w:pPr>
    </w:p>
    <w:p ns2:paraId="1A020118">
      <w:pPr>
        <w:spacing w:before="0" w:after="0" w:line="420" w:lineRule="auto"/>
        <w:ind w:firstLine="420"/>
        <w:jc w:val="both"/>
        <w:rPr>
          <w:rFonts w:ascii="Times New Roman" w:hAnsi="Times New Roman" w:eastAsia="宋体"/>
          <w:sz w:val="24"/>
          <w:szCs w:val="24"/>
        </w:rPr>
      </w:pPr>
    </w:p>
    <w:p ns2:paraId="0CB0F5DE">
      <w:pPr>
        <w:spacing w:before="0" w:after="0" w:line="420" w:lineRule="auto"/>
        <w:ind w:firstLine="420"/>
        <w:jc w:val="both"/>
        <w:rPr>
          <w:rFonts w:ascii="Times New Roman" w:hAnsi="Times New Roman" w:eastAsia="宋体"/>
          <w:sz w:val="24"/>
          <w:szCs w:val="24"/>
        </w:rPr>
      </w:pPr>
    </w:p>
    <w:p ns2:paraId="52D7C45B">
      <w:pPr>
        <w:spacing w:before="0" w:after="0" w:line="420" w:lineRule="auto"/>
        <w:ind w:firstLine="420"/>
        <w:jc w:val="both"/>
        <w:rPr>
          <w:rFonts w:ascii="Times New Roman" w:hAnsi="Times New Roman" w:eastAsia="宋体"/>
          <w:sz w:val="24"/>
          <w:szCs w:val="24"/>
        </w:rPr>
      </w:pPr>
    </w:p>
    <w:p ns2:paraId="688846C3">
      <w:pPr>
        <w:spacing w:before="0" w:after="0" w:line="420" w:lineRule="auto"/>
        <w:ind w:firstLine="420"/>
        <w:jc w:val="both"/>
        <w:rPr>
          <w:rFonts w:ascii="Times New Roman" w:hAnsi="Times New Roman" w:eastAsia="宋体"/>
          <w:sz w:val="24"/>
          <w:szCs w:val="24"/>
        </w:rPr>
      </w:pPr>
    </w:p>
    <w:p ns2:paraId="2710B73D">
      <w:pPr>
        <w:spacing w:before="0" w:after="0" w:line="420" w:lineRule="auto"/>
        <w:ind w:firstLine="420"/>
        <w:jc w:val="both"/>
        <w:rPr>
          <w:rFonts w:ascii="Times New Roman" w:hAnsi="Times New Roman" w:eastAsia="宋体"/>
          <w:sz w:val="24"/>
          <w:szCs w:val="24"/>
        </w:rPr>
      </w:pPr>
    </w:p>
    <w:p ns2:paraId="5F78348B">
      <w:pPr>
        <w:spacing w:before="0" w:after="0" w:line="420" w:lineRule="auto"/>
        <w:ind w:firstLine="420"/>
        <w:jc w:val="both"/>
        <w:rPr>
          <w:rFonts w:ascii="Times New Roman" w:hAnsi="Times New Roman" w:eastAsia="宋体"/>
          <w:sz w:val="24"/>
          <w:szCs w:val="24"/>
        </w:rPr>
      </w:pPr>
    </w:p>
    <w:p ns2:paraId="187C13EB">
      <w:pPr>
        <w:spacing w:before="0" w:after="0" w:line="420" w:lineRule="auto"/>
        <w:ind w:firstLine="420"/>
        <w:jc w:val="both"/>
        <w:rPr>
          <w:rFonts w:ascii="Times New Roman" w:hAnsi="Times New Roman" w:eastAsia="宋体"/>
          <w:sz w:val="24"/>
          <w:szCs w:val="24"/>
        </w:rPr>
      </w:pPr>
    </w:p>
    <w:p ns2:paraId="1DAA1B29">
      <w:pPr>
        <w:spacing w:before="0" w:after="0" w:line="420" w:lineRule="auto"/>
        <w:ind w:firstLine="420"/>
        <w:jc w:val="both"/>
        <w:rPr>
          <w:rFonts w:ascii="Times New Roman" w:hAnsi="Times New Roman" w:eastAsia="宋体"/>
          <w:sz w:val="24"/>
          <w:szCs w:val="24"/>
        </w:rPr>
      </w:pPr>
    </w:p>
    <w:p ns2:paraId="103A39A0">
      <w:pPr>
        <w:spacing w:before="0" w:after="0" w:line="420" w:lineRule="auto"/>
        <w:ind w:firstLine="420"/>
        <w:jc w:val="both"/>
        <w:rPr>
          <w:rFonts w:ascii="Times New Roman" w:hAnsi="Times New Roman" w:eastAsia="宋体"/>
          <w:sz w:val="24"/>
          <w:szCs w:val="24"/>
        </w:rPr>
      </w:pPr>
    </w:p>
    <w:p ns2:paraId="6E9261C9">
      <w:pPr>
        <w:spacing w:before="0" w:after="0" w:line="420" w:lineRule="auto"/>
        <w:ind w:firstLine="420"/>
        <w:jc w:val="both"/>
        <w:rPr>
          <w:rFonts w:ascii="Times New Roman" w:hAnsi="Times New Roman" w:eastAsia="宋体"/>
          <w:sz w:val="24"/>
          <w:szCs w:val="24"/>
        </w:rPr>
      </w:pPr>
    </w:p>
    <w:p ns2:paraId="02FB14A3">
      <w:pPr>
        <w:spacing w:before="0" w:after="0" w:line="420" w:lineRule="auto"/>
        <w:ind w:firstLine="420"/>
        <w:jc w:val="both"/>
        <w:rPr>
          <w:rFonts w:ascii="Times New Roman" w:hAnsi="Times New Roman" w:eastAsia="宋体"/>
          <w:sz w:val="24"/>
          <w:szCs w:val="24"/>
        </w:rPr>
      </w:pPr>
    </w:p>
    <w:p ns2:paraId="40F027FD">
      <w:pPr>
        <w:spacing w:before="0" w:after="0" w:line="420" w:lineRule="auto"/>
        <w:ind w:firstLine="420"/>
        <w:jc w:val="both"/>
        <w:rPr>
          <w:rFonts w:ascii="Times New Roman" w:hAnsi="Times New Roman" w:eastAsia="宋体"/>
          <w:sz w:val="24"/>
          <w:szCs w:val="24"/>
        </w:rPr>
      </w:pPr>
    </w:p>
    <w:p ns2:paraId="4887AC82">
      <w:pPr>
        <w:spacing w:before="0" w:after="0" w:line="420" w:lineRule="auto"/>
        <w:jc w:val="both"/>
        <w:rPr>
          <w:rFonts w:ascii="Times New Roman" w:hAnsi="Times New Roman" w:eastAsia="宋体"/>
          <w:sz w:val="24"/>
          <w:szCs w:val="24"/>
        </w:rPr>
      </w:pPr>
    </w:p>
    <w:p ns2:paraId="76CA5098">
      <w:pPr>
        <w:spacing w:before="0" w:after="40" w:line="420" w:lineRule="auto"/>
        <w:jc w:val="center"/>
      </w:pPr>
      <w:r>
        <w:t>综合来看，当前证据更支持“接口优先、前端规范先行、局部链条成立”的判断，而不支持“完整稳定的强中介链条已经建立”。这一点需要明确写出。否则，文本证据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ns2: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ns2: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ns2: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ns2: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ns2: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ns2: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ns2: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ns2: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ns2: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ns2: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ns2: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ns2: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ns2: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ns2: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ns2: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ns2: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ns2: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ns2:paraId="68967DF6">
      <w:pPr>
        <w:spacing w:before="0" w:after="0" w:line="420" w:lineRule="auto"/>
        <w:ind w:firstLine="420"/>
        <w:jc w:val="both"/>
      </w:pPr>
      <w:r>
        <w:t>从公共管理角度看，这一结果的含义在于，PPP治理过程的改善首先依赖制度接口和程序环境的调整，而非所有治理环节同步升级；从证据边界看，表5支持的是部分机制和阶段性传导，而不是完整闭合的机制证明。与此同时，由于A/B/C/D维度均来自政策文本的省—年聚合结果，当前稿件更适合将其解释为制度表达与治理重心的重分布证据，而不是与主识别并列的独立因果机制识别。为避免同源文本被误读为独立机制，本轮在附录E中单列说明处理变量与文本证据线索的来源边界。</w:t>
      </w:r>
    </w:p>
    <w:p ns2:paraId="736049D1">
      <w:pPr>
        <w:spacing w:before="100" w:after="40" w:line="420" w:lineRule="auto"/>
        <w:jc w:val="left"/>
      </w:pPr>
      <w:r>
        <w:t>5.5 异质性分析</w:t>
      </w:r>
    </w:p>
    <w:p ns2:paraId="45E15243">
      <w:pPr>
        <w:spacing w:before="0" w:after="0" w:line="420" w:lineRule="auto"/>
        <w:ind w:firstLine="420"/>
        <w:jc w:val="both"/>
      </w:pPr>
      <w:r>
        <w:t>在主结果和机制线索之外，本文进一步考察改革效应是否在不同治理环境下存在差异。异质性分析的作用是补充适用边界，而不是生成第二主结论，因此其解释强度必须低于基准结果和机制分析。</w:t>
      </w:r>
    </w:p>
    <w:p ns2:paraId="076A2F21">
      <w:pPr>
        <w:spacing w:before="0" w:after="0" w:line="420" w:lineRule="auto"/>
        <w:ind w:firstLine="420"/>
        <w:jc w:val="both"/>
      </w:pPr>
      <w:r>
        <w: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w:t>
      </w:r>
    </w:p>
    <w:p ns2:paraId="3C9B636F">
      <w:pPr>
        <w:spacing w:before="0" w:after="40" w:line="420" w:lineRule="auto"/>
        <w:jc w:val="center"/>
      </w:pPr>
      <w: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ns2: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ns2: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ns2:paraId="40047F1B">
      <w:pPr>
        <w:spacing w:before="100" w:after="40" w:line="420" w:lineRule="auto"/>
        <w:jc w:val="left"/>
      </w:pPr>
      <w:r>
        <w:t>5.6 稳健性检验与主识别防守</w:t>
      </w:r>
    </w:p>
    <w:p ns2:paraId="4ED499A3">
      <w:pPr>
        <w:spacing w:before="0" w:after="0" w:line="420" w:lineRule="auto"/>
        <w:ind w:firstLine="420"/>
        <w:jc w:val="both"/>
      </w:pPr>
      <w:r>
        <w:t>本节并不引入新的主识别策略，而是围绕表4所报告的treat_share多期DID/TWFE主结果，按“趋势风险—单一区域驱动—有限聚类推断”三个问题逐项防守，并同时明确其证据边界。正文叙述与附录D同步报告标准聚类结果、trend-adjusted DID和wild cluster bootstrap的关键数值。相较之下，stack DID、cohort ATT以及动态补充识别仅保留为边界诊断，不再承担正文中的主防守功能。</w:t>
      </w:r>
    </w:p>
    <w:p>
      <w:r>
        <w:t xml:space="preserve">【v2f防守层级与 rerun 边界】本节遵循“主识别—防守检验—边界诊断”的三层结构。当前 fresh rerun 显示，trend-adjusted DID 下 proc_share 仍为负向且边际显著，exec_share 方向保持正向但统计强度下降；wild cluster bootstrap 下 exec_share 与 proc_share 方向仍与基准一致，但 p 值提示有限聚类下的推断强度弱于标准聚类结果。上述结果支持“结构性改善方向仍可防守”的表述，但不能写成“补充检验在所有方面均强化主结果”，更不能把 ppp_quality_zindex 抬升为强治理质量结论的主结论。</w:t>
      </w:r>
    </w:p>
    <w:p ns2:paraId="532AF634">
      <w:pPr>
        <w:spacing w:before="100" w:after="40" w:line="420" w:lineRule="auto"/>
        <w:jc w:val="left"/>
      </w:pPr>
      <w:r>
        <w:t>5.6.1 趋势调整型防守检验</w:t>
      </w:r>
    </w:p>
    <w:p ns2:paraId="76682969">
      <w:pPr>
        <w:spacing w:before="0" w:after="0" w:line="420" w:lineRule="auto"/>
        <w:ind w:firstLine="420"/>
        <w:jc w:val="both"/>
      </w:pPr>
      <w:r>
        <w: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proc_share的系数为-0.3521，p = 0.0485，说明推进结构中的“采购向执行转换”并不完全依赖共同趋势设定；执行阶段占比上升在方向上保持一致，但统计强度明显减弱，exec_share的系数为0.2263，p = 0.1945，表明这一判断更容易受到趋势设定影响；综合治理质量口径在趋势调整后反而转为负向且p = 0.6780，更不能被提升为稳健主结论。就防守价值而言，采购阶段占比是三项结果中最强的一项，执行阶段占比主要体现为方向稳定但强度更敏感，综合治理质量口径则继续只能作为边界性结果处理。图8A、表8与附录D共同服务于这一层防守性说明。</w:t>
      </w:r>
    </w:p>
    <w:p ns2:paraId="440A0EDF">
      <w:pPr>
        <w:spacing w:before="0" w:after="40" w:line="420" w:lineRule="auto"/>
        <w:jc w:val="center"/>
      </w:pPr>
      <w:r>
        <w:t>表8 主识别防守型稳健性检验摘要</w:t>
      </w:r>
    </w:p>
    <w:tbl>
      <w:tblPr>
        <w:tblStyle w:val="2"/>
        <w:tblW w:w="932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305"/>
        <w:gridCol w:w="1519"/>
        <w:gridCol w:w="1429"/>
        <w:gridCol w:w="2053"/>
        <w:gridCol w:w="3020"/>
      </w:tblGrid>
      <w:tr ns2: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2EB8CD0">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检验层级</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CA3D60C">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exec_share</w:t>
            </w:r>
          </w:p>
        </w:tc>
        <w:tc>
          <w:tcPr>
            <w:tcW w:w="142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F524504">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proc_share</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0E5B2AF">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ppp_quality_zindex</w:t>
            </w:r>
          </w:p>
        </w:tc>
        <w:tc>
          <w:tcPr>
            <w:tcW w:w="30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DDD1F15">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写作口径</w:t>
            </w:r>
          </w:p>
        </w:tc>
      </w:tr>
      <w:tr ns2: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7FA98C4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常规稳健性：主规格锚定</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AFBF04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0.3600*** [p=&lt;0.001]</w:t>
            </w:r>
          </w:p>
        </w:tc>
        <w:tc>
          <w:tcPr>
            <w:tcW w:w="1429"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0255A4B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-0.4065*** [p=&lt;0.001]</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37C9F9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0.5226 [p=0.247]</w:t>
            </w:r>
          </w:p>
        </w:tc>
        <w:tc>
          <w:tcPr>
            <w:tcW w:w="3020"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549209C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E41CFE2">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常规稳健性：滞后一期控制变量</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4BC5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0.4197***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9F9AB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-0.5187***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0E2E97">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0.1865 [p=0.588]</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C6B7A0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2AE1EA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常规稳健性：剔除直辖市与兵团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1CF2E7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0.3419***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F3D146A">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-0.3968***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8F23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0.5040 [p=0.296]</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248DEA0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1460CB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CF13CE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PSM-DID敏感性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1E3AD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-0.5361* [p=0.0871]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C118A6C">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0.3104 [p=0.3739]</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A22950B">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-2.6389*** [p=0.0]</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097682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匹配样本结果敏感，作为识别边界而非强化证据</w:t>
            </w:r>
          </w:p>
        </w:tc>
      </w:tr>
      <w:tr ns2:paraId="71FDD0F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FB90F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DML高维稳健性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04A2B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0.1730 [p=0.200]</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4E98B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-0.1656 [p=0.212]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869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0.3129 [p=0.104]</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CD0AA00">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三项结果方向一致，但统计强度有限</w:t>
            </w:r>
          </w:p>
        </w:tc>
      </w:tr>
      <w:tr ns2:paraId="74D6415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05F3EC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IV可行性评估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2A5F9C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最优候选：digital_econ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4A5AAC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一阶段t=1.515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CD2BC8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recommended=No</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A135C9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当前V3主面板下一阶段相关性不足，不能写成正式IV结果</w:t>
            </w:r>
          </w:p>
        </w:tc>
      </w:tr>
      <w:tr ns2:paraId="00A0476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30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4358797B">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安慰剂检验</w:t>
            </w:r>
          </w:p>
        </w:tc>
        <w:tc>
          <w:tcPr>
            <w:tcW w:w="151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E68DE3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均值=0.0038</w:t>
            </w:r>
          </w:p>
        </w:tc>
        <w:tc>
          <w:tcPr>
            <w:tcW w:w="14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19C32D2">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95%分位=0.1273</w:t>
            </w:r>
          </w:p>
        </w:tc>
        <w:tc>
          <w:tcPr>
            <w:tcW w:w="205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02D641A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99%分位=0.1661</w:t>
            </w:r>
          </w:p>
        </w:tc>
        <w:tc>
          <w:tcPr>
            <w:tcW w:w="302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06332E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随机置换系数围绕零值分布，作为补充性稳健性支持</w:t>
            </w:r>
          </w:p>
        </w:tc>
      </w:tr>
    </w:tbl>
    <w:p ns2:paraId="26AA50D4">
      <w:pPr>
        <w:spacing w:before="60" w:after="60" w:line="360" w:lineRule="auto"/>
        <w:jc w:val="center"/>
      </w:pPr>
      <w:r>
        <w: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w:drawing>
      </w:r>
    </w:p>
    <w:p ns2:paraId="025A7CF5">
      <w:pPr>
        <w:spacing w:before="0" w:after="60" w:line="420" w:lineRule="auto"/>
        <w:jc w:val="center"/>
      </w:pPr>
      <w:r>
        <w:t>图8 主识别防守型补充诊断图：A. 趋势调整型DID与基准DID的结果比较；B. 逐省剔除诊断下核心结果的稳定性</w:t>
      </w:r>
    </w:p>
    <w:p ns2:paraId="532AF634">
      <w:pPr>
        <w:spacing w:before="100" w:after="40" w:line="420" w:lineRule="auto"/>
        <w:jc w:val="left"/>
      </w:pPr>
      <w:r>
        <w:t>5.6.2 单一地区驱动风险诊断：逐省剔除检验</w:t>
      </w:r>
    </w:p>
    <w:p ns2:paraId="52B15289">
      <w:pPr>
        <w:spacing w:before="0" w:after="0" w:line="420" w:lineRule="auto"/>
        <w:ind w:firstLine="420"/>
        <w:jc w:val="both"/>
      </w:pPr>
      <w:r>
        <w: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w:t>
      </w:r>
    </w:p>
    <w:p ns2:paraId="33C848FC">
      <w:pPr>
        <w:spacing w:before="60" w:after="60" w:line="360" w:lineRule="auto"/>
        <w:jc w:val="center"/>
      </w:pPr>
      <w:r>
        <w: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w:drawing>
      </w:r>
    </w:p>
    <w:p ns2:paraId="532AF634">
      <w:pPr>
        <w:spacing w:before="100" w:after="40" w:line="420" w:lineRule="auto"/>
        <w:jc w:val="left"/>
      </w:pPr>
      <w:r>
        <w:t>5.6.3 Wild Cluster Bootstrap 与更保守推断边界</w:t>
      </w:r>
    </w:p>
    <w:p ns2:paraId="7EA9AC05">
      <w:pPr>
        <w:spacing w:before="0" w:after="0" w:line="420" w:lineRule="auto"/>
        <w:ind w:firstLine="420"/>
        <w:jc w:val="both"/>
      </w:pPr>
      <w:r>
        <w: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为避免“表内显著、附录保守”造成的信息分裂，本轮将wild结果纳入主识别防守叙述，并在附录D汇总报告。结果表明，执行阶段占比与采购阶段占比的方向与基准DID保持一致，但统计强度进一步减弱：exec_share的wild cluster bootstrap p值为0.0761，proc_share为0.1221，ppp_quality_zindex为0.2372。也就是说，在更保守的有限聚类推断下，推进结构重组的方向判断仍被保留，但已不足以支撑强因果措辞；其中采购阶段占比下降的方向更稳定，执行阶段占比上升则更依赖模型设定与样本扰动。因而，这一层证据更适合作为边界说明，而不构成对主识别的额外强化。此外，随机置换得到的安慰剂分布整体围绕零值展开，相关图示仅作为补充材料中的诊断性展示，不承担正文主防守功能。</w:t>
      </w:r>
    </w:p>
    <w:p ns2:paraId="5DAC762E">
      <w:pPr>
        <w:spacing w:before="0" w:after="60" w:line="420" w:lineRule="auto"/>
        <w:jc w:val="center"/>
      </w:pPr>
      <w:r>
        <w:t>图9 安慰剂分布图（补充诊断）</w:t>
      </w:r>
    </w:p>
    <w:p ns2:paraId="15EBBA3D">
      <w:pPr>
        <w:spacing w:before="0" w:after="0" w:line="420" w:lineRule="auto"/>
        <w:ind w:firstLine="420"/>
        <w:jc w:val="both"/>
      </w:pPr>
      <w:r>
        <w:t>5.6.4 其他补充识别结果（简述）</w:t>
      </w:r>
    </w:p>
    <w:p ns2:paraId="7EA9AC05">
      <w:pPr>
        <w:spacing w:before="0" w:after="0" w:line="420" w:lineRule="auto"/>
        <w:ind w:firstLine="420"/>
        <w:jc w:val="both"/>
      </w:pPr>
      <w:r>
        <w: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更不将其写成对表4主结果的额外强化。</w:t>
      </w:r>
    </w:p>
    <w:p ns2:paraId="3F854742">
      <w:pPr>
        <w:spacing w:before="100" w:after="40" w:line="420" w:lineRule="auto"/>
        <w:jc w:val="left"/>
      </w:pPr>
      <w:r>
        <w:t>5.7 项目级扩展分析：高低风险的辅助识别</w:t>
      </w:r>
    </w:p>
    <w:p ns2:paraId="62CAE315">
      <w:pPr>
        <w:spacing w:before="0" w:after="0" w:line="420" w:lineRule="auto"/>
        <w:ind w:firstLine="420"/>
        <w:jc w:val="both"/>
      </w:pPr>
      <w:r>
        <w: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w:t>
      </w:r>
    </w:p>
    <w:p ns2:paraId="21613630">
      <w:pPr>
        <w:spacing w:before="0" w:after="0" w:line="420" w:lineRule="auto"/>
        <w:ind w:firstLine="420"/>
        <w:jc w:val="both"/>
      </w:pPr>
      <w:r>
        <w: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ns2:paraId="54F559D0">
      <w:pPr>
        <w:spacing w:before="0" w:after="40" w:line="420" w:lineRule="auto"/>
        <w:jc w:val="center"/>
      </w:pPr>
      <w:r>
        <w: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w:t>
      </w:r>
    </w:p>
    <w:p ns2:paraId="0EB64389">
      <w:pPr>
        <w:spacing w:before="0" w:after="40" w:line="420" w:lineRule="auto"/>
        <w:jc w:val="both"/>
      </w:pPr>
    </w:p>
    <w:p ns2:paraId="7024C971">
      <w:pPr>
        <w:spacing w:before="0" w:after="40" w:line="420" w:lineRule="auto"/>
        <w:jc w:val="both"/>
      </w:pPr>
    </w:p>
    <w:p ns2:paraId="658FFB74">
      <w:pPr>
        <w:spacing w:before="0" w:after="40" w:line="420" w:lineRule="auto"/>
        <w:jc w:val="both"/>
      </w:pP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ns2: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ns2: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ns2: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ns2: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ns2: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ns2: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ns2: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ns2:paraId="6FE7AA23">
      <w:pPr>
        <w:spacing w:before="0" w:after="0" w:line="420" w:lineRule="auto"/>
        <w:ind w:firstLine="420"/>
        <w:jc w:val="both"/>
      </w:pPr>
      <w:r>
        <w: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w:t>
      </w:r>
    </w:p>
    <w:p ns2:paraId="7696C213">
      <w:pPr>
        <w:spacing w:before="60" w:after="60" w:line="360" w:lineRule="auto"/>
        <w:jc w:val="center"/>
      </w:pPr>
      <w:r>
        <w: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w:drawing>
      </w:r>
    </w:p>
    <w:p ns2:paraId="61D39B81">
      <w:pPr>
        <w:spacing w:before="60" w:after="60" w:line="360" w:lineRule="auto"/>
        <w:jc w:val="center"/>
      </w:pPr>
      <w:r>
        <w: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w:drawing>
      </w:r>
    </w:p>
    <w:p ns2:paraId="35793112">
      <w:pPr>
        <w:spacing w:before="160" w:after="60" w:line="420" w:lineRule="auto"/>
        <w:jc w:val="left"/>
      </w:pPr>
      <w:r>
        <w:t>6 结论与展望</w:t>
      </w:r>
    </w:p>
    <w:p ns2:paraId="1FDCC103">
      <w:pPr>
        <w:spacing w:before="0" w:after="0" w:line="420" w:lineRule="auto"/>
        <w:ind w:firstLine="420"/>
        <w:jc w:val="both"/>
      </w:pPr>
      <w:r>
        <w:t>本文围绕政务服务数字化改革与PPP治理之间的关系，构建了一条由政策文本量化、省级面板估计和项目级扩展分析相衔接的研究路径。与将数字化改革简单写成“治理质量整体跃升”的宽泛叙述不同，本文更关注改革首先改变了PPP治理中的哪一类具体环节。基于正式口径的省级主面板和treat_share多期DID/TWFE框架，本文得到三个层次分明且边界清晰的结论。</w:t>
      </w:r>
    </w:p>
    <w:p ns2:paraId="064A25FE">
      <w:pPr>
        <w:spacing w:before="0" w:after="0" w:line="420" w:lineRule="auto"/>
        <w:ind w:firstLine="420"/>
        <w:jc w:val="both"/>
      </w:pPr>
      <w:r>
        <w:t>第一，在基准TWFE规格下，改革暴露强度较高的地区更可能出现PPP项目推进结构的相对重组。exec_share与treat_share呈显著正向关联，proc_share呈显著负向关联；执行/采购对数比率的补充估计也给出同向信号。这意味着当前最稳固的证据并不是所有治理质量指标同步跃升，而是采购/准备环节与执行环节之间的阶段份额发生重新配置。</w:t>
      </w:r>
    </w:p>
    <w:p>
      <w:r>
        <w:t xml:space="preserve">【v2f结论边界】因此，本文对数字化改革作用的解释应保持在“结构性改善”和“条件关联证据”的范围内。当前证据较稳定地支持 PPP 项目推进结构由采购阶段向执行阶段的相对重组，但尚不足以证明综合治理质量全面提升；事件研究只能提供动态路径与识别边界提示，而不是平行趋势已经完全成立的证明；A/B/C/D 文本维度提供的是制度表达和治理重心变化的线索，而不是来源独立的强机制识别。</w:t>
      </w:r>
    </w:p>
    <w:p ns2:paraId="1BAFC4DA">
      <w:pPr>
        <w:spacing w:before="0" w:after="0" w:line="420" w:lineRule="auto"/>
        <w:ind w:firstLine="420"/>
        <w:jc w:val="both"/>
      </w:pPr>
      <w:r>
        <w: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只能用于说明动态路径和识别边界；趋势调整型DID与wild cluster bootstrap则进一步表明，采购阶段占比下降的防守性支持强于执行阶段占比上升，主结果的推断强度仍需克制表述。</w:t>
      </w:r>
    </w:p>
    <w:p ns2:paraId="06450458">
      <w:pPr>
        <w:spacing w:before="0" w:after="0" w:line="420" w:lineRule="auto"/>
        <w:ind w:firstLine="420"/>
        <w:jc w:val="both"/>
      </w:pPr>
      <w:r>
        <w:t>第三，文本证据线索支持“接口优先、前端规范先行、部分机制成立”的判断，但不支持完整稳定的强中介链条。A维度所代表的数字治理接口与数据协同率先响应，前端规范和采购—执行治理维度存在局部传导，但严格中介检验并未成立。由于A/B/C/D维度与treat_share都来自政策文本工程，本轮将其统一降格为制度表达与治理重心重分布的证据线索，而不再把它写成独立的强机制识别。项目级扩展分析进一步表明，在严格避免标签泄漏的前提下，PPP项目的高低风险具有一定可识别性，但这一部分仅构成治理辅助识别，不参与主识别，也不替代制度治理。</w:t>
      </w:r>
    </w:p>
    <w:p ns2:paraId="7489B298">
      <w:pPr>
        <w:spacing w:before="0" w:after="0" w:line="420" w:lineRule="auto"/>
        <w:ind w:firstLine="420"/>
        <w:jc w:val="both"/>
      </w:pPr>
      <w:r>
        <w:t>趋势调整型DID与逐省剔除检验进一步说明，推进结构重组这一核心判断在方向上具有较强稳定性，其中采购阶段占比下降的防守性支撑更强，执行阶段占比上升则对趋势设定和样本扰动更为敏感；wild cluster bootstrap进一步提示，在有限聚类下两项主结果方向仍保留，但推断强度弱于标准聚类结果。也正因如此，本文不将当前结果解释为稳定、强因果的制度效应，而将其界定为过程性、方向性的条件关联证据。</w:t>
      </w:r>
    </w:p>
    <w:p ns2:paraId="2175E32E">
      <w:pPr>
        <w:spacing w:before="0" w:after="0" w:line="420" w:lineRule="auto"/>
        <w:ind w:firstLine="420"/>
        <w:jc w:val="both"/>
      </w:pPr>
      <w:r>
        <w: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w:t>
      </w:r>
    </w:p>
    <w:p ns2:paraId="712FA685">
      <w:pPr>
        <w:spacing w:before="0" w:after="0" w:line="420" w:lineRule="auto"/>
        <w:ind w:firstLine="420"/>
        <w:jc w:val="both"/>
      </w:pPr>
      <w: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财政、发展改革、政务数据主管部门与行业主管部门之间，应围绕项目入库、采购启动、合同执行和信息披露建立共享校核接口，把“采购—执行转换效率”纳入过程性治理绩效，而不是只考核平台上线数量。其四，项目级模型识别可以作为高风险筛查和辅助预警工具，但其使用必须建立在标签与特征严格分离、预测与因果严格分离的原则之上。</w:t>
      </w:r>
    </w:p>
    <w:p ns2:paraId="5EEB491F">
      <w:pPr>
        <w:spacing w:before="0" w:after="0" w:line="420" w:lineRule="auto"/>
        <w:ind w:firstLine="420"/>
        <w:jc w:val="both"/>
      </w:pPr>
      <w: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ns2:paraId="797A0FF9">
      <w:pPr>
        <w:spacing w:before="0" w:after="0" w:line="420" w:lineRule="auto"/>
        <w:ind w:firstLine="420"/>
        <w:jc w:val="both"/>
      </w:pPr>
      <w: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w:t>
      </w:r>
    </w:p>
    <w:p ns2:paraId="4943697C">
      <w:pPr>
        <w:spacing w:before="160" w:after="60" w:line="420" w:lineRule="auto"/>
        <w:jc w:val="left"/>
      </w:pPr>
      <w:r>
        <w:t>附录A 处理变量与样本流转补充说明</w:t>
      </w:r>
    </w:p>
    <w:p ns2:paraId="7EA9AC05">
      <w:pPr>
        <w:spacing w:before="0" w:after="0" w:line="420" w:lineRule="auto"/>
        <w:ind w:firstLine="420"/>
        <w:jc w:val="both"/>
      </w:pPr>
      <w:r>
        <w:t xml:space="preserve">本轮修订在正式V3主面板基础上补充提供了 province-year 层面的 treat_share 重构材料。当前处理变量口径的数学定义如下列公式编辑器对象所示；多数进入处理的省份首次处理年份为2016年，西藏为2017年；海南、青海和新疆生产建设兵团在当前口径下未进入处理。</w:t>
      </w:r>
    </w:p>
    <w:p>
      <w:pPr>
        <w:jc w:val="center"/>
      </w:pPr>
      <m:oMathPara>
        <m:oMath>
          <m:r>
            <m:t>postₜ = 1(t ≥ 2016)</m:t>
          </m:r>
        </m:oMath>
      </m:oMathPara>
    </w:p>
    <w:p>
      <w:pPr>
        <w:jc w:val="center"/>
      </w:pPr>
      <m:oMathPara>
        <m:oMath>
          <m:r>
            <m:t>treat_shareₚₜ = (1 / Nₚₜ) × Σᵢ treatᵢₚₜ</m:t>
          </m:r>
        </m:oMath>
      </m:oMathPara>
    </w:p>
    <w:p>
      <w:pPr>
        <w:jc w:val="center"/>
      </w:pPr>
      <m:oMathPara>
        <m:oMath>
          <m:r>
            <m:t>did_intensityₚₜ = postₜ × treat_shareₚₜ</m:t>
          </m:r>
        </m:oMath>
      </m:oMathPara>
    </w:p>
    <w:p>
      <w:pPr>
        <w:jc w:val="center"/>
      </w:pPr>
      <m:oMathPara>
        <m:oMath>
          <m:r>
            <m:t>did_anyₚₜ = 1(did_intensityₚₜ &gt; 0)</m:t>
          </m:r>
        </m:oMath>
      </m:oMathPara>
    </w:p>
    <w:p>
      <w:r>
        <w:t xml:space="preserve">【v2f附录A0/A1说明】v2f 新增的 province-year treat_share audit 与 implied city-slot registry 已放入 v2f 执行包目录。前者用于审计 treat_share、treated_city_count_implied、did_intensity 与省年样本口径是否一致；后者仅用于在没有真实城市名单时进行聚合链条回算和脚本接口测试。两类文件都不能替代原始城市名单、处理阈值底表或正式 source-of-truth 工作簿。若后续找到真实城市名单或权重底表，应以真实 registry 重建，并保留本次 implied registry 作为审计留痕。</w:t>
      </w:r>
    </w:p>
    <w:p ns2:paraId="7EA9AC05">
      <w:pPr>
        <w:spacing w:before="0" w:after="0" w:line="420" w:lineRule="auto"/>
        <w:ind w:firstLine="420"/>
        <w:jc w:val="both"/>
      </w:pPr>
      <w:r>
        <w:t>正式V3主面板共有266个省—年观察值，其中262个进入第5.3节正式估计样本，另外4个新疆生产建设兵团观测因基准控制变量不完整而被排除。本轮交付随附appendix_A_treat_share_reconstruction_20260418.csv、appendix_A_province_treatment_timing_20260418.csv、appendix_A_sample_exclusions_20260418.csv和appendix_A_treat_share_definition_tables_20260418.md，分别报告province-year层面的treat_share重构结果、省份首次处理时点、删样清单和处理变量定义表。由于当前仓库未显式保存城市级处理名单与原始阈值底表，本文只能将这些材料界定为省级重构意义上的复核资产，而不将其写成完整城市级复现包。</w:t>
      </w:r>
    </w:p>
    <w:p ns2:paraId="4943697C">
      <w:pPr>
        <w:spacing w:before="160" w:after="60" w:line="420" w:lineRule="auto"/>
        <w:jc w:val="left"/>
      </w:pPr>
      <w:r>
        <w:t>附录B 对数比率补充估计说明</w:t>
      </w:r>
    </w:p>
    <w:p ns2:paraId="7EA9AC05">
      <w:pPr>
        <w:spacing w:before="0" w:after="0" w:line="420" w:lineRule="auto"/>
        <w:ind w:firstLine="420"/>
        <w:jc w:val="both"/>
      </w:pPr>
      <w:r>
        <w:t xml:space="preserve">为回应份额型结果变量的构成性约束，本轮修订在正式估计样本上新增报告执行/采购对数比率指标。该指标的数学形式如下列公式编辑器对象所示。基准补充估计以执行阶段与采购阶段最小正份额的一半作为连续性修正；相关结果只构成份额型结果处理下的构成性补强。</w:t>
      </w:r>
    </w:p>
    <w:p>
      <w:pPr>
        <w:jc w:val="center"/>
      </w:pPr>
      <m:oMathPara>
        <m:oMath>
          <m:r>
            <m:t>log_ratioₚₜ = log((exec_shareₚₜ + c) / (proc_shareₚₜ + c))</m:t>
          </m:r>
        </m:oMath>
      </m:oMathPara>
    </w:p>
    <w:p ns2:paraId="7EA9AC05">
      <w:pPr>
        <w:spacing w:before="0" w:after="0" w:line="420" w:lineRule="auto"/>
        <w:ind w:firstLine="420"/>
        <w:jc w:val="both"/>
      </w:pPr>
      <w:r>
        <w:t>这组结果的作用在于为主文中的结构重组判断提供构成性补强，而不是替代treat_share多期DID/TWFE作为唯一主识别。对应的fresh re-estimate结果已随本轮交付材料写入appendix_B_log_ratio_reestimate_20260418.csv和appendix_B_log_ratio_note_20260418.md，供匿名评审和后续人工复核使用。</w:t>
      </w:r>
    </w:p>
    <w:p ns2:paraId="4943697C">
      <w:pPr>
        <w:spacing w:before="160" w:after="60" w:line="420" w:lineRule="auto"/>
        <w:jc w:val="left"/>
      </w:pPr>
      <w:r>
        <w:t>附录C 文本池与样本流转一致性说明</w:t>
      </w:r>
    </w:p>
    <w:p ns2:paraId="7EA9AC05">
      <w:pPr>
        <w:spacing w:before="0" w:after="0" w:line="420" w:lineRule="auto"/>
        <w:ind w:firstLine="420"/>
        <w:jc w:val="both"/>
      </w:pPr>
      <w:r>
        <w:t>本轮统一采用以下样本流转口径：1472份政策文本全文池，经正式筛选形成1307份DID文本文档样本，进一步聚合为288个省—年文本单元，再与正式V3主面板对接形成266个省—年观测值，其中262个进入主回归样本，另有10000个项目级扩展观察值用于第5.7节。对应的流转表已写入appendix_C_sample_flow_0419_1528.csv。</w:t>
      </w:r>
    </w:p>
    <w:p ns2:paraId="7EA9AC05">
      <w:pPr>
        <w:spacing w:before="0" w:after="0" w:line="420" w:lineRule="auto"/>
        <w:ind w:firstLine="420"/>
        <w:jc w:val="both"/>
      </w:pPr>
      <w:r>
        <w:t>审稿报告指出旧附表链条中曾出现“全量政策文本池165”的表述。基于当前仓库可核实的正式源文件，本轮未发现可以支持“165 = 全量文本池”这一manuscript-facing口径的现行资产，因此v2d不采纳该写法，而统一维持1472→1307→288→266→262的正式链条。如果后续确有独立的扩展审计文本窗口，应以不同名称单列，而不能与全文政策文本池混用。</w:t>
      </w:r>
    </w:p>
    <w:p ns2:paraId="4943697C">
      <w:pPr>
        <w:spacing w:before="160" w:after="60" w:line="420" w:lineRule="auto"/>
        <w:jc w:val="left"/>
      </w:pPr>
      <w:r>
        <w:t>附录D 主识别防守结果摘要</w:t>
      </w:r>
    </w:p>
    <w:p ns2:paraId="7EA9AC05">
      <w:pPr>
        <w:spacing w:before="0" w:after="0" w:line="420" w:lineRule="auto"/>
        <w:ind w:firstLine="420"/>
        <w:jc w:val="both"/>
      </w:pPr>
      <w:r>
        <w:t>主识别防守结果可概括为三点。第一，trend-adjusted DID下，exec_share的系数为0.2263（p = 0.1945），proc_share的系数为-0.3521（p = 0.0485），ppp_quality_zindex的系数为-0.1699（p = 0.6780）；这说明采购阶段占比下降的防守性支撑强于执行阶段占比上升。第二，wild cluster bootstrap下，exec_share、proc_share和ppp_quality_zindex的p值分别为0.0761、0.1221和0.2372，方向判断保留，但更保守推断下的统计强度明显减弱。第三，逐省剔除结果未出现核心系数符号翻转，但强度对样本扰动仍有敏感性。对应汇总表已写入appendix_D_defensive_inference_summary_0419_1528.csv。</w:t>
      </w:r>
    </w:p>
    <w:p ns2:paraId="4943697C">
      <w:pPr>
        <w:spacing w:before="160" w:after="60" w:line="420" w:lineRule="auto"/>
        <w:jc w:val="left"/>
      </w:pPr>
      <w:r>
        <w:t>附录E 处理变量与文本证据线索的来源边界</w:t>
      </w:r>
    </w:p>
    <w:p ns2:paraId="7EA9AC05">
      <w:pPr>
        <w:spacing w:before="0" w:after="0" w:line="420" w:lineRule="auto"/>
        <w:ind w:firstLine="420"/>
        <w:jc w:val="both"/>
      </w:pPr>
      <w:r>
        <w:t>treat_share由城市处理状态聚合到省—年层面，A/B/C/D维度则来自政策文本工程后的省—年聚合指标。两类变量都以政策文本体系为基础，因此它们之间的相关性不能被直接写成彼此独立的“机制识别”。本轮据此将第5.4节统一改写为“政策文本证据线索与阶段性传导”，其作用是说明制度表达和治理重心如何随改革推进而调整，而不是证明一条与主识别并列、来源完全独立的强机制链条。更详细的来源边界说明已写入appendix_E_source_boundary_0419_1528.md。</w:t>
      </w:r>
    </w:p>
    <w:p ns2:paraId="4943697C">
      <w:pPr>
        <w:spacing w:before="160" w:after="60" w:line="420" w:lineRule="auto"/>
        <w:jc w:val="left"/>
      </w:pPr>
      <w:r>
        <w:t>研究透明度与复现说明</w:t>
      </w:r>
    </w:p>
    <w:p>
      <w:r>
        <w:t xml:space="preserve">【v2f公式排版规则】自 v2f 起，Word 正式稿中新增或改写的数学公式均使用 Word 公式编辑器/Office Math 对象排版；Markdown 文件仅作为 Git 可审查留底，不作为正式公式排版来源。若后续继续生成 v2f 及以后版本，涉及主模型、变量定义、log-ratio 或其他数学表达时，应优先在 docx 中保留公式编辑器对象。</w:t>
      </w:r>
    </w:p>
    <w:p ns2:paraId="7EA9AC05">
      <w:pPr>
        <w:spacing w:before="0" w:after="0" w:line="420" w:lineRule="auto"/>
        <w:ind w:firstLine="420"/>
        <w:jc w:val="both"/>
      </w:pPr>
      <w:r>
        <w: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w:t>
      </w:r>
    </w:p>
    <w:p ns2:paraId="7EA9AC05">
      <w:pPr>
        <w:spacing w:before="0" w:after="0" w:line="420" w:lineRule="auto"/>
        <w:ind w:firstLine="420"/>
        <w:jc w:val="both"/>
      </w:pPr>
      <w:r>
        <w: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w:t>
      </w:r>
    </w:p>
    <w:p ns2:paraId="7EA9AC05">
      <w:pPr>
        <w:spacing w:before="0" w:after="0" w:line="420" w:lineRule="auto"/>
        <w:ind w:firstLine="420"/>
        <w:jc w:val="both"/>
      </w:pPr>
      <w:r>
        <w: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w:t>
      </w:r>
    </w:p>
    <w:p ns2:paraId="70B9E2B8">
      <w:pPr>
        <w:spacing w:before="160" w:after="60" w:line="420" w:lineRule="auto"/>
        <w:jc w:val="left"/>
      </w:pPr>
      <w:r>
        <w:t>参考文献</w:t>
      </w:r>
    </w:p>
    <w:p ns2:paraId="3AD017C0">
      <w:pPr>
        <w:spacing w:before="0" w:after="0" w:line="420" w:lineRule="auto"/>
        <w:ind w:firstLine="420"/>
        <w:jc w:val="both"/>
      </w:pPr>
      <w:r>
        <w:t>1. 孙慧, 梁英子, 袁婷婷, 王轶涵. 2024. PPP政策内容分析及其市场影响. 系统工程学报.</w:t>
      </w:r>
    </w:p>
    <w:p ns2:paraId="3B8F875F">
      <w:pPr>
        <w:spacing w:before="0" w:after="0" w:line="420" w:lineRule="auto"/>
        <w:ind w:firstLine="420"/>
        <w:jc w:val="both"/>
      </w:pPr>
      <w:r>
        <w:t>2. 汪峰, 范明明, 张牧扬, 崔杰. 2025. 经济增长目标引领与项目推进：基于中国PPP项目进程的分析. 世界经济.</w:t>
      </w:r>
    </w:p>
    <w:p ns2:paraId="2700D4A2">
      <w:pPr>
        <w:spacing w:before="0" w:after="0" w:line="420" w:lineRule="auto"/>
        <w:ind w:firstLine="420"/>
        <w:jc w:val="both"/>
      </w:pPr>
      <w:r>
        <w:t>3. 王渊, 李牧南, 梁彦希. 2025. 政策取向一致性与企业高质量绿色转型. 管理世界.</w:t>
      </w:r>
    </w:p>
    <w:p ns2:paraId="43EAED88">
      <w:pPr>
        <w:spacing w:before="0" w:after="0" w:line="420" w:lineRule="auto"/>
        <w:ind w:firstLine="420"/>
        <w:jc w:val="both"/>
      </w:pPr>
      <w:r>
        <w:t>4. 廖燕珠, 莫桂芳. 2025. 变与稳：危机事件触发政策系统的差异化调适——基于机器学习的省级环境政策文本分析. 公共管理与政策评论.</w:t>
      </w:r>
    </w:p>
    <w:p ns2:paraId="20D22E42">
      <w:pPr>
        <w:spacing w:before="0" w:after="0" w:line="420" w:lineRule="auto"/>
        <w:ind w:firstLine="420"/>
        <w:jc w:val="both"/>
      </w:pPr>
      <w:r>
        <w:t>5. 肖永慧. 2025. 大数据综合试验区提升企业数据资产化的机制——基于多期DID模型的实证分析. 中国流通经济, (12): 105-122. DOI: 10.14089/j.cnki.cn11-3664/f.2025.12.008.</w:t>
      </w:r>
    </w:p>
    <w:p ns2:paraId="33578262">
      <w:pPr>
        <w:spacing w:before="0" w:after="0" w:line="420" w:lineRule="auto"/>
        <w:ind w:firstLine="420"/>
        <w:jc w:val="both"/>
      </w:pPr>
      <w:r>
        <w:t>6. 范柏乃, 盛中华. 2024. 数字风险治理：研究脉络、理论框架及未来展望. 管理世界.</w:t>
      </w:r>
    </w:p>
    <w:p ns2:paraId="64DCA31D">
      <w:pPr>
        <w:spacing w:before="0" w:after="0" w:line="420" w:lineRule="auto"/>
        <w:ind w:firstLine="420"/>
        <w:jc w:val="both"/>
      </w:pPr>
      <w:r>
        <w:t>7. 王蓝蓝, 刘艳丽. 2024. 基于BERTopic的计算机视觉领域热点技术主题及演化分析. 科学观察, 19(2). DOI: 10.15978/j.cnki.1673-5668.202402005.</w:t>
      </w:r>
    </w:p>
    <w:p ns2:paraId="7DD5A20F">
      <w:pPr>
        <w:spacing w:before="0" w:after="0" w:line="420" w:lineRule="auto"/>
        <w:ind w:firstLine="420"/>
        <w:jc w:val="both"/>
      </w:pPr>
      <w:r>
        <w:t>8. 曹玲静, 张志强. 2022. 政策信息学视角下政策文本量化方法研究进展. DOI: 10.11968/tsyqb.1003-6938.2022087.</w:t>
      </w:r>
    </w:p>
    <w:p ns2:paraId="13672D30">
      <w:pPr>
        <w:spacing w:before="0" w:after="0" w:line="420" w:lineRule="auto"/>
        <w:ind w:firstLine="420"/>
        <w:jc w:val="both"/>
      </w:pPr>
      <w:r>
        <w:t>9. 边江泽, 余湄, 秦淇林. 2025. 注册制改革、信息披露与投资者行为——基于创业板定向增发的证据. 管理世界.</w:t>
      </w:r>
    </w:p>
    <w:p ns2:paraId="291DE98B">
      <w:pPr>
        <w:spacing w:before="0" w:after="0" w:line="420" w:lineRule="auto"/>
        <w:ind w:firstLine="420"/>
        <w:jc w:val="both"/>
      </w:pPr>
      <w:r>
        <w:t>10. 刘敏, 张露祥, 平卫英, 黄斐. 2025. 基于大语言模型的多阶段网络舆情驱动群体共识决策方法研究. 管理学报.</w:t>
      </w:r>
    </w:p>
    <w:p ns2:paraId="759EF7BB">
      <w:pPr>
        <w:spacing w:before="0" w:after="0" w:line="420" w:lineRule="auto"/>
        <w:ind w:firstLine="420"/>
        <w:jc w:val="both"/>
      </w:pPr>
      <w:r>
        <w:t>11. 范小云, 王业东, 王道平, 郭文璇, 胡煊翊. 2022. 不同来源金融文本信息含量的异质性分析——基于混合式文本情绪测度方法. 管理世界.</w:t>
      </w:r>
    </w:p>
    <w:p ns2:paraId="3CEA9451">
      <w:pPr>
        <w:spacing w:before="0" w:after="0" w:line="420" w:lineRule="auto"/>
        <w:ind w:firstLine="420"/>
        <w:jc w:val="both"/>
      </w:pPr>
      <w:r>
        <w:t>12. 李牧南, 王亮, 赖华鹏. 2024. 基于深度学习的我国科技政策属性识别. 科研管理, 45(2). DOI: 10.19571/j.cnki.1000-2995.2024.02.001.</w:t>
      </w:r>
    </w:p>
    <w:p ns2:paraId="08FB622C">
      <w:pPr>
        <w:spacing w:before="0" w:after="0" w:line="420" w:lineRule="auto"/>
        <w:ind w:firstLine="420"/>
        <w:jc w:val="both"/>
      </w:pPr>
      <w:r>
        <w:t>13. Saito, T., &amp; Rehmsmeier, M. 2015. The precision-recall plot is more informative than the ROC plot when evaluating binary classifiers on imbalanced datasets. PLOS ONE, 10(3): e0118432.</w:t>
      </w:r>
    </w:p>
    <w:p ns2:paraId="43020247">
      <w:pPr>
        <w:spacing w:before="0" w:after="0" w:line="420" w:lineRule="auto"/>
        <w:ind w:firstLine="420"/>
        <w:jc w:val="both"/>
      </w:pPr>
      <w:r>
        <w:t>14. Sun, L., &amp; Abraham, S. 2021. Estimating dynamic treatment effects in event studies with heterogeneous treatment effects. Journal of Econometrics, 225(2): 175-199.</w:t>
      </w: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