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a="http://schemas.openxmlformats.org/drawingml/2006/main" xmlns:ns1="http://schemas.microsoft.com/office/word/2010/wordml" xmlns:pic="http://schemas.openxmlformats.org/drawingml/2006/picture" xmlns:r="http://schemas.openxmlformats.org/officeDocument/2006/relationships" xmlns:w="http://schemas.openxmlformats.org/wordprocessingml/2006/main" xmlns:wp="http://schemas.openxmlformats.org/drawingml/2006/wordprocessingDrawing">
  <w:body>
    <w:p>
      <w:pPr>
        <w:jc w:val="center"/>
        <w:spacing w:before="0" w:after="120" w:line="420" w:lineRule="auto"/>
      </w:pPr>
      <w:r>
        <w:rPr>
          <w:rFonts w:ascii="Times New Roman" w:hAnsi="Times New Roman" w:eastAsia="宋体"/>
          <w:b/>
          <w:sz w:val="36"/>
          <w:szCs w:val="36"/>
        </w:rPr>
        <w:t>政务服务数字化改革如何优化PPP项目推进与治理过程？</w:t>
      </w:r>
    </w:p>
    <w:p>
      <w:pPr>
        <w:jc w:val="left"/>
        <w:spacing w:before="180" w:after="60" w:line="420" w:lineRule="auto"/>
      </w:pPr>
      <w:r>
        <w:rPr>
          <w:rFonts w:ascii="Times New Roman" w:hAnsi="Times New Roman" w:eastAsia="宋体"/>
          <w:b/>
          <w:sz w:val="30"/>
          <w:szCs w:val="30"/>
        </w:rPr>
        <w:t>——基于政策文本量化与省级面板评估的证据</w:t>
      </w:r>
    </w:p>
    <w:p>
      <w:pPr>
        <w:jc w:val="left"/>
        <w:spacing w:before="120" w:after="60" w:line="420" w:lineRule="auto"/>
      </w:pPr>
      <w:r>
        <w:rPr>
          <w:rFonts w:ascii="Times New Roman" w:hAnsi="Times New Roman" w:eastAsia="宋体"/>
          <w:b/>
          <w:sz w:val="28"/>
          <w:szCs w:val="28"/>
        </w:rPr>
        <w:t>摘要</w:t>
      </w:r>
    </w:p>
    <w:p>
      <w:pPr>
        <w:jc w:val="both"/>
        <w:spacing w:before="0" w:after="0" w:line="420" w:lineRule="auto"/>
        <w:ind w:firstLine="420"/>
      </w:pPr>
      <w:r>
        <w:rPr>
          <w:rFonts w:ascii="Times New Roman" w:hAnsi="Times New Roman" w:eastAsia="宋体"/>
          <w:sz w:val="24"/>
          <w:szCs w:val="24"/>
        </w:rPr>
        <w:t>围绕政务服务数字化改革与PPP治理之间的关系，本文尝试回答一个更具公共管理含义而非纯技术含义的问题：数字化改革究竟首先改善了PPP项目的哪一类治理环节。基于地方政府PPP政策文本、统一口径的省级主面板以及项目级风险底表，本文将政策文本量化结果转化为治理能力测度变量，在此基础上以treat_share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严格意义上的完整强中介链条并未建立。常规稳健性、替代处理变量和高维方法检验整体保持主结果方向一致，而匹配样本DID和工具变量可行性评估更多体现为识别边界而非额外强化。进一步地，在严格避免标签泄漏的前提下，项目级高低风险具有中等偏强的可识别性，但这一部分仅构成治理辅助识别的扩展分析，不改变本文以多期DID/TWFE为唯一主识别的研究结构。本文的经验结果提示，数字化改革在PPP领域的现实作用更接近于改善政府内部协同、前端规范和审批执行衔接，而非即时、全面地提升所有治理质量指标。</w:t>
      </w:r>
    </w:p>
    <w:p>
      <w:pPr>
        <w:jc w:val="left"/>
        <w:spacing w:before="0" w:after="0" w:line="420" w:lineRule="auto"/>
      </w:pPr>
      <w:r>
        <w:rPr>
          <w:rFonts w:ascii="Times New Roman" w:hAnsi="Times New Roman" w:eastAsia="宋体"/>
          <w:sz w:val="24"/>
          <w:szCs w:val="24"/>
        </w:rPr>
        <w:t>关键词：数字政府；政务服务数字化改革；PPP治理；政策文本量化；推进结构；风险辅助识别</w:t>
      </w:r>
    </w:p>
    <w:p>
      <w:pPr>
        <w:jc w:val="left"/>
        <w:spacing w:before="180" w:after="60" w:line="420" w:lineRule="auto"/>
      </w:pPr>
      <w:r>
        <w:rPr>
          <w:rFonts w:ascii="Times New Roman" w:hAnsi="Times New Roman" w:eastAsia="宋体"/>
          <w:b/>
          <w:sz w:val="30"/>
          <w:szCs w:val="30"/>
        </w:rPr>
        <w:t>1 引言</w:t>
      </w:r>
    </w:p>
    <w:p>
      <w:pPr>
        <w:jc w:val="both"/>
        <w:spacing w:before="0" w:after="0" w:line="420" w:lineRule="auto"/>
        <w:ind w:firstLine="420"/>
      </w:pPr>
      <w:r>
        <w:rPr>
          <w:rFonts w:ascii="Times New Roman" w:hAnsi="Times New Roman" w:eastAsia="宋体"/>
          <w:sz w:val="24"/>
          <w:szCs w:val="24"/>
        </w:rP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w:pPr>
        <w:jc w:val="both"/>
        <w:spacing w:before="0" w:after="0" w:line="420" w:lineRule="auto"/>
        <w:ind w:firstLine="420"/>
      </w:pPr>
      <w:r>
        <w:rPr>
          <w:rFonts w:ascii="Times New Roman" w:hAnsi="Times New Roman" w:eastAsia="宋体"/>
          <w:sz w:val="24"/>
          <w:szCs w:val="24"/>
        </w:rP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w:pPr>
        <w:jc w:val="both"/>
        <w:spacing w:before="0" w:after="0" w:line="420" w:lineRule="auto"/>
        <w:ind w:firstLine="420"/>
      </w:pPr>
      <w:r>
        <w:rPr>
          <w:rFonts w:ascii="Times New Roman" w:hAnsi="Times New Roman" w:eastAsia="宋体"/>
          <w:sz w:val="24"/>
          <w:szCs w:val="24"/>
        </w:rP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w:pPr>
        <w:jc w:val="both"/>
        <w:spacing w:before="0" w:after="0" w:line="420" w:lineRule="auto"/>
        <w:ind w:firstLine="420"/>
      </w:pPr>
      <w:r>
        <w:rPr>
          <w:rFonts w:ascii="Times New Roman" w:hAnsi="Times New Roman" w:eastAsia="宋体"/>
          <w:sz w:val="24"/>
          <w:szCs w:val="24"/>
        </w:rPr>
        <w: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项目级高低风险识别结果则显示，在严格避免标签泄漏的前提下，文本与结构变量可以服务于风险排序任务，但这一部分属于扩展分析，不构成对主识别的替代。</w:t>
      </w:r>
    </w:p>
    <w:p>
      <w:pPr>
        <w:jc w:val="both"/>
        <w:spacing w:before="0" w:after="0" w:line="420" w:lineRule="auto"/>
        <w:ind w:firstLine="420"/>
      </w:pPr>
      <w:r>
        <w:rPr>
          <w:rFonts w:ascii="Times New Roman" w:hAnsi="Times New Roman" w:eastAsia="宋体"/>
          <w:sz w:val="24"/>
          <w:szCs w:val="24"/>
        </w:rP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w:pPr>
        <w:jc w:val="left"/>
        <w:spacing w:before="180" w:after="60" w:line="420" w:lineRule="auto"/>
      </w:pPr>
      <w:r>
        <w:rPr>
          <w:rFonts w:ascii="Times New Roman" w:hAnsi="Times New Roman" w:eastAsia="宋体"/>
          <w:b/>
          <w:sz w:val="30"/>
          <w:szCs w:val="30"/>
        </w:rPr>
        <w:t>2 文献综述</w:t>
      </w:r>
    </w:p>
    <w:p>
      <w:pPr>
        <w:jc w:val="left"/>
        <w:spacing w:before="120" w:after="60" w:line="420" w:lineRule="auto"/>
      </w:pPr>
      <w:r>
        <w:rPr>
          <w:rFonts w:ascii="Times New Roman" w:hAnsi="Times New Roman" w:eastAsia="宋体"/>
          <w:b/>
          <w:sz w:val="28"/>
          <w:szCs w:val="28"/>
        </w:rPr>
        <w:t>2.1 数字政府、政策执行与组织协同</w:t>
      </w:r>
    </w:p>
    <w:p>
      <w:pPr>
        <w:jc w:val="both"/>
        <w:spacing w:before="0" w:after="0" w:line="420" w:lineRule="auto"/>
        <w:ind w:firstLine="420"/>
      </w:pPr>
      <w:r>
        <w:rPr>
          <w:rFonts w:ascii="Times New Roman" w:hAnsi="Times New Roman" w:eastAsia="宋体"/>
          <w:sz w:val="24"/>
          <w:szCs w:val="24"/>
        </w:rP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w:pPr>
        <w:jc w:val="both"/>
        <w:spacing w:before="0" w:after="0" w:line="420" w:lineRule="auto"/>
        <w:ind w:firstLine="420"/>
      </w:pPr>
      <w:r>
        <w:rPr>
          <w:rFonts w:ascii="Times New Roman" w:hAnsi="Times New Roman" w:eastAsia="宋体"/>
          <w:sz w:val="24"/>
          <w:szCs w:val="24"/>
        </w:rP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w:pPr>
        <w:jc w:val="left"/>
        <w:spacing w:before="120" w:after="60" w:line="420" w:lineRule="auto"/>
      </w:pPr>
      <w:r>
        <w:rPr>
          <w:rFonts w:ascii="Times New Roman" w:hAnsi="Times New Roman" w:eastAsia="宋体"/>
          <w:b/>
          <w:sz w:val="28"/>
          <w:szCs w:val="28"/>
        </w:rPr>
        <w:t>2.2 PPP治理、公共服务供给与项目推进</w:t>
      </w:r>
    </w:p>
    <w:p>
      <w:pPr>
        <w:jc w:val="both"/>
        <w:spacing w:before="0" w:after="0" w:line="420" w:lineRule="auto"/>
        <w:ind w:firstLine="420"/>
      </w:pPr>
      <w:r>
        <w:rPr>
          <w:rFonts w:ascii="Times New Roman" w:hAnsi="Times New Roman" w:eastAsia="宋体"/>
          <w:sz w:val="24"/>
          <w:szCs w:val="24"/>
        </w:rP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w:pPr>
        <w:jc w:val="both"/>
        <w:spacing w:before="0" w:after="0" w:line="420" w:lineRule="auto"/>
        <w:ind w:firstLine="420"/>
      </w:pPr>
      <w:r>
        <w:rPr>
          <w:rFonts w:ascii="Times New Roman" w:hAnsi="Times New Roman" w:eastAsia="宋体"/>
          <w:sz w:val="24"/>
          <w:szCs w:val="24"/>
        </w:rP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w:pPr>
        <w:jc w:val="left"/>
        <w:spacing w:before="120" w:after="60" w:line="420" w:lineRule="auto"/>
      </w:pPr>
      <w:r>
        <w:rPr>
          <w:rFonts w:ascii="Times New Roman" w:hAnsi="Times New Roman" w:eastAsia="宋体"/>
          <w:b/>
          <w:sz w:val="28"/>
          <w:szCs w:val="28"/>
        </w:rPr>
        <w:t>2.3 政策文本量化、治理测度与变量工程</w:t>
      </w:r>
    </w:p>
    <w:p>
      <w:pPr>
        <w:jc w:val="both"/>
        <w:spacing w:before="0" w:after="0" w:line="420" w:lineRule="auto"/>
        <w:ind w:firstLine="420"/>
      </w:pPr>
      <w:r>
        <w:rPr>
          <w:rFonts w:ascii="Times New Roman" w:hAnsi="Times New Roman" w:eastAsia="宋体"/>
          <w:sz w:val="24"/>
          <w:szCs w:val="24"/>
        </w:rP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w:pPr>
        <w:jc w:val="both"/>
        <w:spacing w:before="0" w:after="0" w:line="420" w:lineRule="auto"/>
        <w:ind w:firstLine="420"/>
      </w:pPr>
      <w:r>
        <w:rPr>
          <w:rFonts w:ascii="Times New Roman" w:hAnsi="Times New Roman" w:eastAsia="宋体"/>
          <w:sz w:val="24"/>
          <w:szCs w:val="24"/>
        </w:rP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w:pPr>
        <w:jc w:val="left"/>
        <w:spacing w:before="120" w:after="60" w:line="420" w:lineRule="auto"/>
      </w:pPr>
      <w:r>
        <w:rPr>
          <w:rFonts w:ascii="Times New Roman" w:hAnsi="Times New Roman" w:eastAsia="宋体"/>
          <w:b/>
          <w:sz w:val="28"/>
          <w:szCs w:val="28"/>
        </w:rPr>
        <w:t>2.4 风险治理与辅助识别的边界</w:t>
      </w:r>
    </w:p>
    <w:p>
      <w:pPr>
        <w:jc w:val="both"/>
        <w:spacing w:before="0" w:after="0" w:line="420" w:lineRule="auto"/>
        <w:ind w:firstLine="420"/>
      </w:pPr>
      <w:r>
        <w:rPr>
          <w:rFonts w:ascii="Times New Roman" w:hAnsi="Times New Roman" w:eastAsia="宋体"/>
          <w:sz w:val="24"/>
          <w:szCs w:val="24"/>
        </w:rP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w:pPr>
        <w:jc w:val="both"/>
        <w:spacing w:before="0" w:after="0" w:line="420" w:lineRule="auto"/>
        <w:ind w:firstLine="420"/>
      </w:pPr>
      <w:r>
        <w:rPr>
          <w:rFonts w:ascii="Times New Roman" w:hAnsi="Times New Roman" w:eastAsia="宋体"/>
          <w:sz w:val="24"/>
          <w:szCs w:val="24"/>
        </w:rP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w:pPr>
        <w:jc w:val="both"/>
        <w:spacing w:before="0" w:after="0" w:line="420" w:lineRule="auto"/>
        <w:ind w:firstLine="420"/>
      </w:pPr>
      <w:r>
        <w:rPr>
          <w:rFonts w:ascii="Times New Roman" w:hAnsi="Times New Roman" w:eastAsia="宋体"/>
          <w:sz w:val="24"/>
          <w:szCs w:val="24"/>
        </w:rP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w:pPr>
        <w:jc w:val="left"/>
        <w:spacing w:before="180" w:after="60" w:line="420" w:lineRule="auto"/>
      </w:pPr>
      <w:r>
        <w:rPr>
          <w:rFonts w:ascii="Times New Roman" w:hAnsi="Times New Roman" w:eastAsia="宋体"/>
          <w:b/>
          <w:sz w:val="30"/>
          <w:szCs w:val="30"/>
        </w:rPr>
        <w:t>3 理论分析与研究假设</w:t>
      </w:r>
    </w:p>
    <w:p>
      <w:pPr>
        <w:jc w:val="center"/>
        <w:spacing w:before="0" w:after="120" w:line="420" w:lineRule="auto"/>
      </w:pPr>
      <w:r>
        <w:rPr>
          <w:rFonts w:ascii="Times New Roman" w:hAnsi="Times New Roman" w:eastAsia="宋体"/>
          <w:sz w:val="28"/>
          <w:szCs w:val="28"/>
        </w:rPr>
        <w:t>理论分析与研究假设（正式正文初稿）</w:t>
      </w:r>
    </w:p>
    <w:p>
      <w:pPr>
        <w:jc w:val="both"/>
        <w:spacing w:before="0" w:after="0" w:line="420" w:lineRule="auto"/>
        <w:ind w:firstLine="420"/>
      </w:pPr>
      <w:r>
        <w:rPr>
          <w:rFonts w:ascii="Times New Roman" w:hAnsi="Times New Roman" w:eastAsia="宋体"/>
          <w:sz w:val="24"/>
          <w:szCs w:val="24"/>
        </w:rPr>
        <w:t>在明确研究问题、数据基础和总体识别思路之后，本文需要进一步回答一个更为根本的问题：政务服务数字化改革究竟通过何种公共管理机制影响 PPP 项目的治理运行过程。对于 PPP 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w:pPr>
        <w:jc w:val="left"/>
        <w:spacing w:before="180" w:after="60" w:line="420" w:lineRule="auto"/>
      </w:pPr>
      <w:r>
        <w:rPr>
          <w:rFonts w:ascii="Times New Roman" w:hAnsi="Times New Roman" w:eastAsia="宋体"/>
          <w:b/>
          <w:sz w:val="30"/>
          <w:szCs w:val="30"/>
        </w:rPr>
        <w:t>3.1 数字化改革、政府协同与 PPP 推进结构</w:t>
      </w:r>
    </w:p>
    <w:p>
      <w:pPr>
        <w:jc w:val="both"/>
        <w:spacing w:before="0" w:after="0" w:line="420" w:lineRule="auto"/>
        <w:ind w:firstLine="420"/>
      </w:pPr>
      <w:r>
        <w:rPr>
          <w:rFonts w:ascii="Times New Roman" w:hAnsi="Times New Roman" w:eastAsia="宋体"/>
          <w:sz w:val="24"/>
          <w:szCs w:val="24"/>
        </w:rPr>
        <w:t>PPP 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 项目能否顺利由前端识别和采购环节进入执行环节，本质上反映的是政府内部治理能力和政策执行效率。</w:t>
      </w:r>
    </w:p>
    <w:p>
      <w:pPr>
        <w:jc w:val="both"/>
        <w:spacing w:before="0" w:after="0" w:line="420" w:lineRule="auto"/>
        <w:ind w:firstLine="420"/>
      </w:pPr>
      <w:r>
        <w:rPr>
          <w:rFonts w:ascii="Times New Roman" w:hAnsi="Times New Roman" w:eastAsia="宋体"/>
          <w:sz w:val="24"/>
          <w:szCs w:val="24"/>
        </w:rP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w:pPr>
        <w:jc w:val="both"/>
        <w:spacing w:before="0" w:after="0" w:line="420" w:lineRule="auto"/>
        <w:ind w:firstLine="420"/>
      </w:pPr>
      <w:r>
        <w:rPr>
          <w:rFonts w:ascii="Times New Roman" w:hAnsi="Times New Roman" w:eastAsia="宋体"/>
          <w:sz w:val="24"/>
          <w:szCs w:val="24"/>
        </w:rPr>
        <w:t>从公共管理角度看，这种变化具有两层含义。其一，数字化改革通过改善政府内部协同和政策执行效率，提升了项目推进链条中的组织可达性与程序可达性。其二，PPP 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w:pPr>
        <w:jc w:val="both"/>
        <w:spacing w:before="0" w:after="0" w:line="420" w:lineRule="auto"/>
        <w:ind w:firstLine="420"/>
      </w:pPr>
      <w:r>
        <w:rPr>
          <w:rFonts w:ascii="Times New Roman" w:hAnsi="Times New Roman" w:eastAsia="宋体"/>
          <w:sz w:val="24"/>
          <w:szCs w:val="24"/>
        </w:rPr>
        <w:t>基于上述分析，本文提出第一个研究假设：</w:t>
      </w:r>
    </w:p>
    <w:p>
      <w:pPr>
        <w:jc w:val="left"/>
        <w:spacing w:before="60" w:after="60" w:line="420" w:lineRule="auto"/>
      </w:pPr>
      <w:r>
        <w:rPr>
          <w:rFonts w:ascii="Times New Roman" w:hAnsi="Times New Roman" w:eastAsia="宋体"/>
          <w:b/>
          <w:sz w:val="24"/>
          <w:szCs w:val="24"/>
        </w:rPr>
        <w:t>假说 H1：政务服务数字化改革将优先改善 PPP 项目的推进结构，具体表现为执行阶段占比上升、采购阶段占比下降。</w:t>
      </w:r>
    </w:p>
    <w:p>
      <w:pPr>
        <w:jc w:val="both"/>
        <w:spacing w:before="0" w:after="0" w:line="420" w:lineRule="auto"/>
        <w:ind w:firstLine="420"/>
      </w:pPr>
      <w:r>
        <w:rPr>
          <w:rFonts w:ascii="Times New Roman" w:hAnsi="Times New Roman" w:eastAsia="宋体"/>
          <w:sz w:val="24"/>
          <w:szCs w:val="24"/>
        </w:rPr>
        <w:t>这一假说的理论定位是全文主假说，其所对应的经验检验将构成后文主识别部分的核心证据。需要强调的是，H1 的提出并不意味着本文要把数字化改革解释为“全面提升 PPP 治理质量”的单向冲击；相反，H1 旨在为后文的实证分析设定一个更符合公共管理逻辑、也更符合当前正式结果边界的检验框架。</w:t>
      </w:r>
    </w:p>
    <w:p>
      <w:pPr>
        <w:jc w:val="left"/>
        <w:spacing w:before="180" w:after="60" w:line="420" w:lineRule="auto"/>
      </w:pPr>
      <w:r>
        <w:rPr>
          <w:rFonts w:ascii="Times New Roman" w:hAnsi="Times New Roman" w:eastAsia="宋体"/>
          <w:b/>
          <w:sz w:val="30"/>
          <w:szCs w:val="30"/>
        </w:rPr>
        <w:t>3.2 接口优先、前端规范先行与阶段性传导</w:t>
      </w:r>
    </w:p>
    <w:p>
      <w:pPr>
        <w:jc w:val="both"/>
        <w:spacing w:before="0" w:after="0" w:line="420" w:lineRule="auto"/>
        <w:ind w:firstLine="420"/>
      </w:pPr>
      <w:r>
        <w:rPr>
          <w:rFonts w:ascii="Times New Roman" w:hAnsi="Times New Roman" w:eastAsia="宋体"/>
          <w:sz w:val="24"/>
          <w:szCs w:val="24"/>
        </w:rP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 PPP 场景中，这些接口因素既决定项目能否被有效识别和规范纳入，也决定项目能否在采购与执行之间实现更顺畅的流程转换。</w:t>
      </w:r>
    </w:p>
    <w:p>
      <w:pPr>
        <w:jc w:val="both"/>
        <w:spacing w:before="0" w:after="0" w:line="420" w:lineRule="auto"/>
        <w:ind w:firstLine="420"/>
      </w:pPr>
      <w:r>
        <w:rPr>
          <w:rFonts w:ascii="Times New Roman" w:hAnsi="Times New Roman" w:eastAsia="宋体"/>
          <w:sz w:val="24"/>
          <w:szCs w:val="24"/>
        </w:rPr>
        <w:t>结合本文的政策文本框架，这一逻辑可以进一步拆解为四个层面的治理维度。第一，A 维度对应数字治理接口与数据协同，其核心是平台建设、在线办理、数据共享和信息公开等制度表达。这一维度反映的是政府内部流程再造和协同能力，是数字化改革最可能率先作用的环节。第二，B 维度对应项目识别与前端规范准入，包括项目入库、物有所值评价、财政承受能力约束和实施方案审批等内容。这一维度体现的是 PPP 前端程序的规范化程度。第三，C 维度对应采购交易、合同安排与执行绩效，更多反映项目进入具体执行环节后的治理运行状态。第四，D 维度对应风险防控、监督纠偏与退出约束，体现的是治理体系的后端监督与风险处置能力。</w:t>
      </w:r>
    </w:p>
    <w:p>
      <w:pPr>
        <w:jc w:val="both"/>
        <w:spacing w:before="0" w:after="0" w:line="420" w:lineRule="auto"/>
        <w:ind w:firstLine="420"/>
      </w:pPr>
      <w:r>
        <w:rPr>
          <w:rFonts w:ascii="Times New Roman" w:hAnsi="Times New Roman" w:eastAsia="宋体"/>
          <w:sz w:val="24"/>
          <w:szCs w:val="24"/>
        </w:rPr>
        <w:t>按照这一结构，数字化改革最有可能先推动 A 维度改善，并在此基础上通过 B 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 C 维度内容才可能出现较稳定的阶段性响应。相比之下，风险防控和退出约束等 D 维度往往涉及更长周期、更强监督和更复杂的制度反馈，其变化未必会与前端治理同步显现。</w:t>
      </w:r>
    </w:p>
    <w:p>
      <w:pPr>
        <w:jc w:val="both"/>
        <w:spacing w:before="0" w:after="0" w:line="420" w:lineRule="auto"/>
        <w:ind w:firstLine="420"/>
      </w:pPr>
      <w:r>
        <w:rPr>
          <w:rFonts w:ascii="Times New Roman" w:hAnsi="Times New Roman" w:eastAsia="宋体"/>
          <w:sz w:val="24"/>
          <w:szCs w:val="24"/>
        </w:rP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 A 维度的先行响应、B 到 C 的局部传导，以及部分环节显著而严格中介不足，那么这种结果并不意味着理论失败，而恰恰说明 PPP 治理链条中的改革传导本就具有阶段性、分层性和不完全性。</w:t>
      </w:r>
    </w:p>
    <w:p>
      <w:pPr>
        <w:jc w:val="both"/>
        <w:spacing w:before="0" w:after="0" w:line="420" w:lineRule="auto"/>
        <w:ind w:firstLine="420"/>
      </w:pPr>
      <w:r>
        <w:rPr>
          <w:rFonts w:ascii="Times New Roman" w:hAnsi="Times New Roman" w:eastAsia="宋体"/>
          <w:sz w:val="24"/>
          <w:szCs w:val="24"/>
        </w:rPr>
        <w:t>基于上述分析，本文提出第二个研究假设：</w:t>
      </w:r>
    </w:p>
    <w:p>
      <w:pPr>
        <w:jc w:val="left"/>
        <w:spacing w:before="60" w:after="60" w:line="420" w:lineRule="auto"/>
      </w:pPr>
      <w:r>
        <w:rPr>
          <w:rFonts w:ascii="Times New Roman" w:hAnsi="Times New Roman" w:eastAsia="宋体"/>
          <w:b/>
          <w:sz w:val="24"/>
          <w:szCs w:val="24"/>
        </w:rPr>
        <w:t>假说 H2：政务服务数字化改革将优先强化数字治理接口与前端规范准入相关的治理环境，并通过阶段性传导改善 PPP 项目推进结构，但完整、稳定的强中介链条未必成立。</w:t>
      </w:r>
    </w:p>
    <w:p>
      <w:pPr>
        <w:jc w:val="both"/>
        <w:spacing w:before="0" w:after="0" w:line="420" w:lineRule="auto"/>
        <w:ind w:firstLine="420"/>
      </w:pPr>
      <w:r>
        <w:rPr>
          <w:rFonts w:ascii="Times New Roman" w:hAnsi="Times New Roman" w:eastAsia="宋体"/>
          <w:sz w:val="24"/>
          <w:szCs w:val="24"/>
        </w:rPr>
        <w:t>H2 的理论含义在于，它为后文机制分析划定了适当的解释边界。后文若发现 A 维度和部分前端治理维度更早发生响应，且局部链条显现而严格中介不足，则应被理解为支持“阶段性传导”的机制逻辑，而不应被拔高为“完整强机制已经成立”的结论。也就是说，本研究的机制分析重点在于识别改革首先改变了哪些治理接口和程序环节，而不是证明一条无断裂、无噪音的完整传导路径。</w:t>
      </w:r>
    </w:p>
    <w:p>
      <w:pPr>
        <w:jc w:val="left"/>
        <w:spacing w:before="180" w:after="60" w:line="420" w:lineRule="auto"/>
      </w:pPr>
      <w:r>
        <w:rPr>
          <w:rFonts w:ascii="Times New Roman" w:hAnsi="Times New Roman" w:eastAsia="宋体"/>
          <w:b/>
          <w:sz w:val="30"/>
          <w:szCs w:val="30"/>
        </w:rPr>
        <w:t>3.3 项目级风险识别的扩展命题与理论边界</w:t>
      </w:r>
    </w:p>
    <w:p>
      <w:pPr>
        <w:jc w:val="both"/>
        <w:spacing w:before="0" w:after="0" w:line="420" w:lineRule="auto"/>
        <w:ind w:firstLine="420"/>
      </w:pPr>
      <w:r>
        <w:rPr>
          <w:rFonts w:ascii="Times New Roman" w:hAnsi="Times New Roman" w:eastAsia="宋体"/>
          <w:sz w:val="24"/>
          <w:szCs w:val="24"/>
        </w:rPr>
        <w:t>除了省级面板上的治理过程识别之外，本文还进一步关注一个扩展性问题：如果数字化改革确实改变了 PPP 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w:pPr>
        <w:jc w:val="both"/>
        <w:spacing w:before="0" w:after="0" w:line="420" w:lineRule="auto"/>
        <w:ind w:firstLine="420"/>
      </w:pPr>
      <w:r>
        <w:rPr>
          <w:rFonts w:ascii="Times New Roman" w:hAnsi="Times New Roman" w:eastAsia="宋体"/>
          <w:sz w:val="24"/>
          <w:szCs w:val="24"/>
        </w:rP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 PPP 风险问题上，如果标签定义与特征构造不加区分，机器学习模型很容易因标签泄漏而夸大表现，从而模糊“治理识别”和“技术分类”之间的边界。</w:t>
      </w:r>
    </w:p>
    <w:p>
      <w:pPr>
        <w:jc w:val="both"/>
        <w:spacing w:before="0" w:after="0" w:line="420" w:lineRule="auto"/>
        <w:ind w:firstLine="420"/>
      </w:pPr>
      <w:r>
        <w:rPr>
          <w:rFonts w:ascii="Times New Roman" w:hAnsi="Times New Roman" w:eastAsia="宋体"/>
          <w:sz w:val="24"/>
          <w:szCs w:val="24"/>
        </w:rP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w:pPr>
        <w:jc w:val="both"/>
        <w:spacing w:before="0" w:after="0" w:line="420" w:lineRule="auto"/>
        <w:ind w:firstLine="420"/>
      </w:pPr>
      <w:r>
        <w:rPr>
          <w:rFonts w:ascii="Times New Roman" w:hAnsi="Times New Roman" w:eastAsia="宋体"/>
          <w:sz w:val="24"/>
          <w:szCs w:val="24"/>
        </w:rP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 treat_share 多期 DID/TWFE 为唯一主识别的研究结构。</w:t>
      </w:r>
    </w:p>
    <w:p>
      <w:pPr>
        <w:jc w:val="both"/>
        <w:spacing w:before="0" w:after="0" w:line="420" w:lineRule="auto"/>
        <w:ind w:firstLine="420"/>
      </w:pPr>
      <w:r>
        <w:rPr>
          <w:rFonts w:ascii="Times New Roman" w:hAnsi="Times New Roman" w:eastAsia="宋体"/>
          <w:sz w:val="24"/>
          <w:szCs w:val="24"/>
        </w:rPr>
        <w:t>综上，本文的理论部分形成了一个层次清晰的分析框架：第一，数字化改革首先通过改善政府内部协同和政策执行效率，推动 PPP 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w:pPr>
        <w:jc w:val="left"/>
        <w:spacing w:before="180" w:after="60" w:line="420" w:lineRule="auto"/>
      </w:pPr>
      <w:r>
        <w:rPr>
          <w:rFonts w:ascii="Times New Roman" w:hAnsi="Times New Roman" w:eastAsia="宋体"/>
          <w:b/>
          <w:sz w:val="30"/>
          <w:szCs w:val="30"/>
        </w:rPr>
        <w:t>4 研究设计</w:t>
      </w:r>
    </w:p>
    <w:p>
      <w:pPr>
        <w:jc w:val="left"/>
        <w:spacing w:before="120" w:after="60" w:line="420" w:lineRule="auto"/>
      </w:pPr>
      <w:r>
        <w:rPr>
          <w:rFonts w:ascii="Times New Roman" w:hAnsi="Times New Roman" w:eastAsia="宋体"/>
          <w:b/>
          <w:sz w:val="28"/>
          <w:szCs w:val="28"/>
        </w:rPr>
        <w:t>4.1 数据来源与样本结构</w:t>
      </w:r>
    </w:p>
    <w:p>
      <w:pPr>
        <w:jc w:val="both"/>
        <w:spacing w:before="0" w:after="0" w:line="420" w:lineRule="auto"/>
        <w:ind w:firstLine="420"/>
      </w:pPr>
      <w:r>
        <w:rPr>
          <w:rFonts w:ascii="Times New Roman" w:hAnsi="Times New Roman" w:eastAsia="宋体"/>
          <w:sz w:val="24"/>
          <w:szCs w:val="24"/>
        </w:rP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w:pPr>
        <w:jc w:val="both"/>
        <w:spacing w:before="0" w:after="0" w:line="420" w:lineRule="auto"/>
        <w:ind w:firstLine="420"/>
      </w:pPr>
      <w:r>
        <w:rPr>
          <w:rFonts w:ascii="Times New Roman" w:hAnsi="Times New Roman" w:eastAsia="宋体"/>
          <w:sz w:val="24"/>
          <w:szCs w:val="24"/>
        </w:rP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w:pPr>
        <w:jc w:val="both"/>
        <w:spacing w:before="0" w:after="0" w:line="420" w:lineRule="auto"/>
        <w:ind w:firstLine="420"/>
      </w:pPr>
      <w:r>
        <w:rPr>
          <w:rFonts w:ascii="Times New Roman" w:hAnsi="Times New Roman" w:eastAsia="宋体"/>
          <w:sz w:val="24"/>
          <w:szCs w:val="24"/>
        </w:rP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w:pPr>
        <w:jc w:val="center"/>
        <w:spacing w:before="0" w:after="0" w:line="420" w:lineRule="auto"/>
      </w:pPr>
      <w:r>
        <w:rPr>
          <w:rFonts w:ascii="Times New Roman" w:hAnsi="Times New Roman" w:eastAsia="宋体"/>
          <w:sz w:val="22"/>
          <w:szCs w:val="22"/>
        </w:rPr>
        <w:t>表1 PPP政策文本样本结构与语料覆盖情况</w:t>
      </w:r>
    </w:p>
    <w:tbl>
      <w:tblPr>
        <w:tblStyle w:val="33"/>
        <w:tblW w:w="1075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66"/>
        <w:gridCol w:w="1239"/>
        <w:gridCol w:w="1508"/>
        <w:gridCol w:w="1508"/>
        <w:gridCol w:w="1715"/>
        <w:gridCol w:w="2309"/>
        <w:gridCol w:w="1509"/>
      </w:tblGrid>
      <w:tr ns1: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541593D2">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年份</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671D5B4">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文本总数</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44BC68E7">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中央文本数</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289DFFF6">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地方文本数</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4FF978F4">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总字符数</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38DBB260">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平均篇幅（字符）</w:t>
            </w:r>
          </w:p>
        </w:tc>
        <w:tc>
          <w:tcPr>
            <w:tcW w:w="1509" w:type="dxa"/>
            <w:tcBorders>
              <w:top w:val="single" w:color="auto" w:sz="12" w:space="0"/>
              <w:left w:val="nil"/>
              <w:bottom w:val="nil"/>
              <w:right w:val="nil"/>
            </w:tcBorders>
            <w:noWrap w:val="0"/>
            <w:tcMar>
              <w:top w:w="40" w:type="dxa"/>
              <w:left w:w="50" w:type="dxa"/>
              <w:bottom w:w="40" w:type="dxa"/>
              <w:right w:w="50" w:type="dxa"/>
            </w:tcMar>
            <w:vAlign w:val="center"/>
          </w:tcPr>
          <w:p ns1:paraId="2625055A">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平均句子数</w:t>
            </w:r>
          </w:p>
        </w:tc>
      </w:tr>
      <w:tr ns1: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2465882E">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2014</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2135BD0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25</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658B4E4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0119ABDA">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19</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0AD2C9F4">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88,130</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69C72A3D">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3,525.20</w:t>
            </w:r>
          </w:p>
        </w:tc>
        <w:tc>
          <w:tcPr>
            <w:tcW w:w="1509" w:type="dxa"/>
            <w:tcBorders>
              <w:top w:val="single" w:color="auto" w:sz="4" w:space="0"/>
              <w:left w:val="nil"/>
              <w:bottom w:val="nil"/>
              <w:right w:val="nil"/>
            </w:tcBorders>
            <w:noWrap w:val="0"/>
            <w:tcMar>
              <w:top w:w="40" w:type="dxa"/>
              <w:left w:w="50" w:type="dxa"/>
              <w:bottom w:w="40" w:type="dxa"/>
              <w:right w:w="50" w:type="dxa"/>
            </w:tcMar>
            <w:vAlign w:val="center"/>
          </w:tcPr>
          <w:p ns1:paraId="5AFA6FA9">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64.52</w:t>
            </w:r>
          </w:p>
        </w:tc>
      </w:tr>
      <w:tr ns1: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594837BC">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2015</w:t>
            </w:r>
          </w:p>
        </w:tc>
        <w:tc>
          <w:tcPr>
            <w:tcW w:w="0" w:type="auto"/>
            <w:tcBorders>
              <w:top w:val="nil"/>
              <w:left w:val="nil"/>
              <w:bottom w:val="nil"/>
              <w:right w:val="nil"/>
            </w:tcBorders>
            <w:noWrap w:val="0"/>
            <w:tcMar>
              <w:top w:w="40" w:type="dxa"/>
              <w:left w:w="50" w:type="dxa"/>
              <w:bottom w:w="40" w:type="dxa"/>
              <w:right w:w="50" w:type="dxa"/>
            </w:tcMar>
            <w:vAlign w:val="center"/>
          </w:tcPr>
          <w:p ns1:paraId="40D4115C">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341</w:t>
            </w:r>
          </w:p>
        </w:tc>
        <w:tc>
          <w:tcPr>
            <w:tcW w:w="0" w:type="auto"/>
            <w:tcBorders>
              <w:top w:val="nil"/>
              <w:left w:val="nil"/>
              <w:bottom w:val="nil"/>
              <w:right w:val="nil"/>
            </w:tcBorders>
            <w:noWrap w:val="0"/>
            <w:tcMar>
              <w:top w:w="40" w:type="dxa"/>
              <w:left w:w="50" w:type="dxa"/>
              <w:bottom w:w="40" w:type="dxa"/>
              <w:right w:w="50" w:type="dxa"/>
            </w:tcMar>
            <w:vAlign w:val="center"/>
          </w:tcPr>
          <w:p ns1:paraId="6547AAEE">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19</w:t>
            </w:r>
          </w:p>
        </w:tc>
        <w:tc>
          <w:tcPr>
            <w:tcW w:w="0" w:type="auto"/>
            <w:tcBorders>
              <w:top w:val="nil"/>
              <w:left w:val="nil"/>
              <w:bottom w:val="nil"/>
              <w:right w:val="nil"/>
            </w:tcBorders>
            <w:noWrap w:val="0"/>
            <w:tcMar>
              <w:top w:w="40" w:type="dxa"/>
              <w:left w:w="50" w:type="dxa"/>
              <w:bottom w:w="40" w:type="dxa"/>
              <w:right w:w="50" w:type="dxa"/>
            </w:tcMar>
            <w:vAlign w:val="center"/>
          </w:tcPr>
          <w:p ns1:paraId="6120A097">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322</w:t>
            </w:r>
          </w:p>
        </w:tc>
        <w:tc>
          <w:tcPr>
            <w:tcW w:w="0" w:type="auto"/>
            <w:tcBorders>
              <w:top w:val="nil"/>
              <w:left w:val="nil"/>
              <w:bottom w:val="nil"/>
              <w:right w:val="nil"/>
            </w:tcBorders>
            <w:noWrap w:val="0"/>
            <w:tcMar>
              <w:top w:w="40" w:type="dxa"/>
              <w:left w:w="50" w:type="dxa"/>
              <w:bottom w:w="40" w:type="dxa"/>
              <w:right w:w="50" w:type="dxa"/>
            </w:tcMar>
            <w:vAlign w:val="center"/>
          </w:tcPr>
          <w:p ns1:paraId="0CACA49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1,167,069</w:t>
            </w:r>
          </w:p>
        </w:tc>
        <w:tc>
          <w:tcPr>
            <w:tcW w:w="0" w:type="auto"/>
            <w:tcBorders>
              <w:top w:val="nil"/>
              <w:left w:val="nil"/>
              <w:bottom w:val="nil"/>
              <w:right w:val="nil"/>
            </w:tcBorders>
            <w:noWrap w:val="0"/>
            <w:tcMar>
              <w:top w:w="40" w:type="dxa"/>
              <w:left w:w="50" w:type="dxa"/>
              <w:bottom w:w="40" w:type="dxa"/>
              <w:right w:w="50" w:type="dxa"/>
            </w:tcMar>
            <w:vAlign w:val="center"/>
          </w:tcPr>
          <w:p ns1:paraId="68246011">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3,422.49</w:t>
            </w:r>
          </w:p>
        </w:tc>
        <w:tc>
          <w:tcPr>
            <w:tcW w:w="1509" w:type="dxa"/>
            <w:tcBorders>
              <w:top w:val="nil"/>
              <w:left w:val="nil"/>
              <w:bottom w:val="nil"/>
              <w:right w:val="nil"/>
            </w:tcBorders>
            <w:noWrap w:val="0"/>
            <w:tcMar>
              <w:top w:w="40" w:type="dxa"/>
              <w:left w:w="50" w:type="dxa"/>
              <w:bottom w:w="40" w:type="dxa"/>
              <w:right w:w="50" w:type="dxa"/>
            </w:tcMar>
            <w:vAlign w:val="center"/>
          </w:tcPr>
          <w:p ns1:paraId="09864F5B">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62.29</w:t>
            </w:r>
          </w:p>
        </w:tc>
      </w:tr>
      <w:tr ns1: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659143AE">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2016</w:t>
            </w:r>
          </w:p>
        </w:tc>
        <w:tc>
          <w:tcPr>
            <w:tcW w:w="0" w:type="auto"/>
            <w:tcBorders>
              <w:top w:val="nil"/>
              <w:left w:val="nil"/>
              <w:bottom w:val="nil"/>
              <w:right w:val="nil"/>
            </w:tcBorders>
            <w:noWrap w:val="0"/>
            <w:tcMar>
              <w:top w:w="40" w:type="dxa"/>
              <w:left w:w="50" w:type="dxa"/>
              <w:bottom w:w="40" w:type="dxa"/>
              <w:right w:w="50" w:type="dxa"/>
            </w:tcMar>
            <w:vAlign w:val="center"/>
          </w:tcPr>
          <w:p ns1:paraId="00B567FB">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302</w:t>
            </w:r>
          </w:p>
        </w:tc>
        <w:tc>
          <w:tcPr>
            <w:tcW w:w="0" w:type="auto"/>
            <w:tcBorders>
              <w:top w:val="nil"/>
              <w:left w:val="nil"/>
              <w:bottom w:val="nil"/>
              <w:right w:val="nil"/>
            </w:tcBorders>
            <w:noWrap w:val="0"/>
            <w:tcMar>
              <w:top w:w="40" w:type="dxa"/>
              <w:left w:w="50" w:type="dxa"/>
              <w:bottom w:w="40" w:type="dxa"/>
              <w:right w:w="50" w:type="dxa"/>
            </w:tcMar>
            <w:vAlign w:val="center"/>
          </w:tcPr>
          <w:p ns1:paraId="48D2AA31">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21</w:t>
            </w:r>
          </w:p>
        </w:tc>
        <w:tc>
          <w:tcPr>
            <w:tcW w:w="0" w:type="auto"/>
            <w:tcBorders>
              <w:top w:val="nil"/>
              <w:left w:val="nil"/>
              <w:bottom w:val="nil"/>
              <w:right w:val="nil"/>
            </w:tcBorders>
            <w:noWrap w:val="0"/>
            <w:tcMar>
              <w:top w:w="40" w:type="dxa"/>
              <w:left w:w="50" w:type="dxa"/>
              <w:bottom w:w="40" w:type="dxa"/>
              <w:right w:w="50" w:type="dxa"/>
            </w:tcMar>
            <w:vAlign w:val="center"/>
          </w:tcPr>
          <w:p ns1:paraId="56B474C9">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281</w:t>
            </w:r>
          </w:p>
        </w:tc>
        <w:tc>
          <w:tcPr>
            <w:tcW w:w="0" w:type="auto"/>
            <w:tcBorders>
              <w:top w:val="nil"/>
              <w:left w:val="nil"/>
              <w:bottom w:val="nil"/>
              <w:right w:val="nil"/>
            </w:tcBorders>
            <w:noWrap w:val="0"/>
            <w:tcMar>
              <w:top w:w="40" w:type="dxa"/>
              <w:left w:w="50" w:type="dxa"/>
              <w:bottom w:w="40" w:type="dxa"/>
              <w:right w:w="50" w:type="dxa"/>
            </w:tcMar>
            <w:vAlign w:val="center"/>
          </w:tcPr>
          <w:p ns1:paraId="5582D8E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1,127,167</w:t>
            </w:r>
          </w:p>
        </w:tc>
        <w:tc>
          <w:tcPr>
            <w:tcW w:w="0" w:type="auto"/>
            <w:tcBorders>
              <w:top w:val="nil"/>
              <w:left w:val="nil"/>
              <w:bottom w:val="nil"/>
              <w:right w:val="nil"/>
            </w:tcBorders>
            <w:noWrap w:val="0"/>
            <w:tcMar>
              <w:top w:w="40" w:type="dxa"/>
              <w:left w:w="50" w:type="dxa"/>
              <w:bottom w:w="40" w:type="dxa"/>
              <w:right w:w="50" w:type="dxa"/>
            </w:tcMar>
            <w:vAlign w:val="center"/>
          </w:tcPr>
          <w:p ns1:paraId="22F769EF">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3,732.34</w:t>
            </w:r>
          </w:p>
        </w:tc>
        <w:tc>
          <w:tcPr>
            <w:tcW w:w="1509" w:type="dxa"/>
            <w:tcBorders>
              <w:top w:val="nil"/>
              <w:left w:val="nil"/>
              <w:bottom w:val="nil"/>
              <w:right w:val="nil"/>
            </w:tcBorders>
            <w:noWrap w:val="0"/>
            <w:tcMar>
              <w:top w:w="40" w:type="dxa"/>
              <w:left w:w="50" w:type="dxa"/>
              <w:bottom w:w="40" w:type="dxa"/>
              <w:right w:w="50" w:type="dxa"/>
            </w:tcMar>
            <w:vAlign w:val="center"/>
          </w:tcPr>
          <w:p ns1:paraId="1E9BA889">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65.32</w:t>
            </w:r>
          </w:p>
        </w:tc>
      </w:tr>
      <w:tr ns1: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3EF9D8E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2017</w:t>
            </w:r>
          </w:p>
        </w:tc>
        <w:tc>
          <w:tcPr>
            <w:tcW w:w="0" w:type="auto"/>
            <w:tcBorders>
              <w:top w:val="nil"/>
              <w:left w:val="nil"/>
              <w:bottom w:val="nil"/>
              <w:right w:val="nil"/>
            </w:tcBorders>
            <w:noWrap w:val="0"/>
            <w:tcMar>
              <w:top w:w="40" w:type="dxa"/>
              <w:left w:w="50" w:type="dxa"/>
              <w:bottom w:w="40" w:type="dxa"/>
              <w:right w:w="50" w:type="dxa"/>
            </w:tcMar>
            <w:vAlign w:val="center"/>
          </w:tcPr>
          <w:p ns1:paraId="7C6A33BA">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323</w:t>
            </w:r>
          </w:p>
        </w:tc>
        <w:tc>
          <w:tcPr>
            <w:tcW w:w="0" w:type="auto"/>
            <w:tcBorders>
              <w:top w:val="nil"/>
              <w:left w:val="nil"/>
              <w:bottom w:val="nil"/>
              <w:right w:val="nil"/>
            </w:tcBorders>
            <w:noWrap w:val="0"/>
            <w:tcMar>
              <w:top w:w="40" w:type="dxa"/>
              <w:left w:w="50" w:type="dxa"/>
              <w:bottom w:w="40" w:type="dxa"/>
              <w:right w:w="50" w:type="dxa"/>
            </w:tcMar>
            <w:vAlign w:val="center"/>
          </w:tcPr>
          <w:p ns1:paraId="0F48530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26</w:t>
            </w:r>
          </w:p>
        </w:tc>
        <w:tc>
          <w:tcPr>
            <w:tcW w:w="0" w:type="auto"/>
            <w:tcBorders>
              <w:top w:val="nil"/>
              <w:left w:val="nil"/>
              <w:bottom w:val="nil"/>
              <w:right w:val="nil"/>
            </w:tcBorders>
            <w:noWrap w:val="0"/>
            <w:tcMar>
              <w:top w:w="40" w:type="dxa"/>
              <w:left w:w="50" w:type="dxa"/>
              <w:bottom w:w="40" w:type="dxa"/>
              <w:right w:w="50" w:type="dxa"/>
            </w:tcMar>
            <w:vAlign w:val="center"/>
          </w:tcPr>
          <w:p ns1:paraId="1190CACD">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297</w:t>
            </w:r>
          </w:p>
        </w:tc>
        <w:tc>
          <w:tcPr>
            <w:tcW w:w="0" w:type="auto"/>
            <w:tcBorders>
              <w:top w:val="nil"/>
              <w:left w:val="nil"/>
              <w:bottom w:val="nil"/>
              <w:right w:val="nil"/>
            </w:tcBorders>
            <w:noWrap w:val="0"/>
            <w:tcMar>
              <w:top w:w="40" w:type="dxa"/>
              <w:left w:w="50" w:type="dxa"/>
              <w:bottom w:w="40" w:type="dxa"/>
              <w:right w:w="50" w:type="dxa"/>
            </w:tcMar>
            <w:vAlign w:val="center"/>
          </w:tcPr>
          <w:p ns1:paraId="3796DA1E">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1,203,030</w:t>
            </w:r>
          </w:p>
        </w:tc>
        <w:tc>
          <w:tcPr>
            <w:tcW w:w="0" w:type="auto"/>
            <w:tcBorders>
              <w:top w:val="nil"/>
              <w:left w:val="nil"/>
              <w:bottom w:val="nil"/>
              <w:right w:val="nil"/>
            </w:tcBorders>
            <w:noWrap w:val="0"/>
            <w:tcMar>
              <w:top w:w="40" w:type="dxa"/>
              <w:left w:w="50" w:type="dxa"/>
              <w:bottom w:w="40" w:type="dxa"/>
              <w:right w:w="50" w:type="dxa"/>
            </w:tcMar>
            <w:vAlign w:val="center"/>
          </w:tcPr>
          <w:p ns1:paraId="54A6216B">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3,724.55</w:t>
            </w:r>
          </w:p>
        </w:tc>
        <w:tc>
          <w:tcPr>
            <w:tcW w:w="1509" w:type="dxa"/>
            <w:tcBorders>
              <w:top w:val="nil"/>
              <w:left w:val="nil"/>
              <w:bottom w:val="nil"/>
              <w:right w:val="nil"/>
            </w:tcBorders>
            <w:noWrap w:val="0"/>
            <w:tcMar>
              <w:top w:w="40" w:type="dxa"/>
              <w:left w:w="50" w:type="dxa"/>
              <w:bottom w:w="40" w:type="dxa"/>
              <w:right w:w="50" w:type="dxa"/>
            </w:tcMar>
            <w:vAlign w:val="center"/>
          </w:tcPr>
          <w:p ns1:paraId="1E16EA78">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62.82</w:t>
            </w:r>
          </w:p>
        </w:tc>
      </w:tr>
      <w:tr ns1: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7FA9EDD0">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2018</w:t>
            </w:r>
          </w:p>
        </w:tc>
        <w:tc>
          <w:tcPr>
            <w:tcW w:w="0" w:type="auto"/>
            <w:tcBorders>
              <w:top w:val="nil"/>
              <w:left w:val="nil"/>
              <w:bottom w:val="nil"/>
              <w:right w:val="nil"/>
            </w:tcBorders>
            <w:noWrap w:val="0"/>
            <w:tcMar>
              <w:top w:w="40" w:type="dxa"/>
              <w:left w:w="50" w:type="dxa"/>
              <w:bottom w:w="40" w:type="dxa"/>
              <w:right w:w="50" w:type="dxa"/>
            </w:tcMar>
            <w:vAlign w:val="center"/>
          </w:tcPr>
          <w:p ns1:paraId="539178E5">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140</w:t>
            </w:r>
          </w:p>
        </w:tc>
        <w:tc>
          <w:tcPr>
            <w:tcW w:w="0" w:type="auto"/>
            <w:tcBorders>
              <w:top w:val="nil"/>
              <w:left w:val="nil"/>
              <w:bottom w:val="nil"/>
              <w:right w:val="nil"/>
            </w:tcBorders>
            <w:noWrap w:val="0"/>
            <w:tcMar>
              <w:top w:w="40" w:type="dxa"/>
              <w:left w:w="50" w:type="dxa"/>
              <w:bottom w:w="40" w:type="dxa"/>
              <w:right w:w="50" w:type="dxa"/>
            </w:tcMar>
            <w:vAlign w:val="center"/>
          </w:tcPr>
          <w:p ns1:paraId="5343644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8</w:t>
            </w:r>
          </w:p>
        </w:tc>
        <w:tc>
          <w:tcPr>
            <w:tcW w:w="0" w:type="auto"/>
            <w:tcBorders>
              <w:top w:val="nil"/>
              <w:left w:val="nil"/>
              <w:bottom w:val="nil"/>
              <w:right w:val="nil"/>
            </w:tcBorders>
            <w:noWrap w:val="0"/>
            <w:tcMar>
              <w:top w:w="40" w:type="dxa"/>
              <w:left w:w="50" w:type="dxa"/>
              <w:bottom w:w="40" w:type="dxa"/>
              <w:right w:w="50" w:type="dxa"/>
            </w:tcMar>
            <w:vAlign w:val="center"/>
          </w:tcPr>
          <w:p ns1:paraId="235D5BED">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132</w:t>
            </w:r>
          </w:p>
        </w:tc>
        <w:tc>
          <w:tcPr>
            <w:tcW w:w="0" w:type="auto"/>
            <w:tcBorders>
              <w:top w:val="nil"/>
              <w:left w:val="nil"/>
              <w:bottom w:val="nil"/>
              <w:right w:val="nil"/>
            </w:tcBorders>
            <w:noWrap w:val="0"/>
            <w:tcMar>
              <w:top w:w="40" w:type="dxa"/>
              <w:left w:w="50" w:type="dxa"/>
              <w:bottom w:w="40" w:type="dxa"/>
              <w:right w:w="50" w:type="dxa"/>
            </w:tcMar>
            <w:vAlign w:val="center"/>
          </w:tcPr>
          <w:p ns1:paraId="40E18524">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543,578</w:t>
            </w:r>
          </w:p>
        </w:tc>
        <w:tc>
          <w:tcPr>
            <w:tcW w:w="0" w:type="auto"/>
            <w:tcBorders>
              <w:top w:val="nil"/>
              <w:left w:val="nil"/>
              <w:bottom w:val="nil"/>
              <w:right w:val="nil"/>
            </w:tcBorders>
            <w:noWrap w:val="0"/>
            <w:tcMar>
              <w:top w:w="40" w:type="dxa"/>
              <w:left w:w="50" w:type="dxa"/>
              <w:bottom w:w="40" w:type="dxa"/>
              <w:right w:w="50" w:type="dxa"/>
            </w:tcMar>
            <w:vAlign w:val="center"/>
          </w:tcPr>
          <w:p ns1:paraId="3788B13E">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3,882.70</w:t>
            </w:r>
          </w:p>
        </w:tc>
        <w:tc>
          <w:tcPr>
            <w:tcW w:w="1509" w:type="dxa"/>
            <w:tcBorders>
              <w:top w:val="nil"/>
              <w:left w:val="nil"/>
              <w:bottom w:val="nil"/>
              <w:right w:val="nil"/>
            </w:tcBorders>
            <w:noWrap w:val="0"/>
            <w:tcMar>
              <w:top w:w="40" w:type="dxa"/>
              <w:left w:w="50" w:type="dxa"/>
              <w:bottom w:w="40" w:type="dxa"/>
              <w:right w:w="50" w:type="dxa"/>
            </w:tcMar>
            <w:vAlign w:val="center"/>
          </w:tcPr>
          <w:p ns1:paraId="02281B70">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61.89</w:t>
            </w:r>
          </w:p>
        </w:tc>
      </w:tr>
      <w:tr ns1: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1ADCC715">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2019</w:t>
            </w:r>
          </w:p>
        </w:tc>
        <w:tc>
          <w:tcPr>
            <w:tcW w:w="0" w:type="auto"/>
            <w:tcBorders>
              <w:top w:val="nil"/>
              <w:left w:val="nil"/>
              <w:bottom w:val="nil"/>
              <w:right w:val="nil"/>
            </w:tcBorders>
            <w:noWrap w:val="0"/>
            <w:tcMar>
              <w:top w:w="40" w:type="dxa"/>
              <w:left w:w="50" w:type="dxa"/>
              <w:bottom w:w="40" w:type="dxa"/>
              <w:right w:w="50" w:type="dxa"/>
            </w:tcMar>
            <w:vAlign w:val="center"/>
          </w:tcPr>
          <w:p ns1:paraId="429CE522">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65</w:t>
            </w:r>
          </w:p>
        </w:tc>
        <w:tc>
          <w:tcPr>
            <w:tcW w:w="0" w:type="auto"/>
            <w:tcBorders>
              <w:top w:val="nil"/>
              <w:left w:val="nil"/>
              <w:bottom w:val="nil"/>
              <w:right w:val="nil"/>
            </w:tcBorders>
            <w:noWrap w:val="0"/>
            <w:tcMar>
              <w:top w:w="40" w:type="dxa"/>
              <w:left w:w="50" w:type="dxa"/>
              <w:bottom w:w="40" w:type="dxa"/>
              <w:right w:w="50" w:type="dxa"/>
            </w:tcMar>
            <w:vAlign w:val="center"/>
          </w:tcPr>
          <w:p ns1:paraId="35B0088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w:t>
            </w:r>
          </w:p>
        </w:tc>
        <w:tc>
          <w:tcPr>
            <w:tcW w:w="0" w:type="auto"/>
            <w:tcBorders>
              <w:top w:val="nil"/>
              <w:left w:val="nil"/>
              <w:bottom w:val="nil"/>
              <w:right w:val="nil"/>
            </w:tcBorders>
            <w:noWrap w:val="0"/>
            <w:tcMar>
              <w:top w:w="40" w:type="dxa"/>
              <w:left w:w="50" w:type="dxa"/>
              <w:bottom w:w="40" w:type="dxa"/>
              <w:right w:w="50" w:type="dxa"/>
            </w:tcMar>
            <w:vAlign w:val="center"/>
          </w:tcPr>
          <w:p ns1:paraId="2367E26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59</w:t>
            </w:r>
          </w:p>
        </w:tc>
        <w:tc>
          <w:tcPr>
            <w:tcW w:w="0" w:type="auto"/>
            <w:tcBorders>
              <w:top w:val="nil"/>
              <w:left w:val="nil"/>
              <w:bottom w:val="nil"/>
              <w:right w:val="nil"/>
            </w:tcBorders>
            <w:noWrap w:val="0"/>
            <w:tcMar>
              <w:top w:w="40" w:type="dxa"/>
              <w:left w:w="50" w:type="dxa"/>
              <w:bottom w:w="40" w:type="dxa"/>
              <w:right w:w="50" w:type="dxa"/>
            </w:tcMar>
            <w:vAlign w:val="center"/>
          </w:tcPr>
          <w:p ns1:paraId="3A73AFB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256,981</w:t>
            </w:r>
          </w:p>
        </w:tc>
        <w:tc>
          <w:tcPr>
            <w:tcW w:w="0" w:type="auto"/>
            <w:tcBorders>
              <w:top w:val="nil"/>
              <w:left w:val="nil"/>
              <w:bottom w:val="nil"/>
              <w:right w:val="nil"/>
            </w:tcBorders>
            <w:noWrap w:val="0"/>
            <w:tcMar>
              <w:top w:w="40" w:type="dxa"/>
              <w:left w:w="50" w:type="dxa"/>
              <w:bottom w:w="40" w:type="dxa"/>
              <w:right w:w="50" w:type="dxa"/>
            </w:tcMar>
            <w:vAlign w:val="center"/>
          </w:tcPr>
          <w:p ns1:paraId="3EA57EB4">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3,953.55</w:t>
            </w:r>
          </w:p>
        </w:tc>
        <w:tc>
          <w:tcPr>
            <w:tcW w:w="1509" w:type="dxa"/>
            <w:tcBorders>
              <w:top w:val="nil"/>
              <w:left w:val="nil"/>
              <w:bottom w:val="nil"/>
              <w:right w:val="nil"/>
            </w:tcBorders>
            <w:noWrap w:val="0"/>
            <w:tcMar>
              <w:top w:w="40" w:type="dxa"/>
              <w:left w:w="50" w:type="dxa"/>
              <w:bottom w:w="40" w:type="dxa"/>
              <w:right w:w="50" w:type="dxa"/>
            </w:tcMar>
            <w:vAlign w:val="center"/>
          </w:tcPr>
          <w:p ns1:paraId="2012FE53">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68.43</w:t>
            </w:r>
          </w:p>
        </w:tc>
      </w:tr>
      <w:tr ns1: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033AF827">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2020</w:t>
            </w:r>
          </w:p>
        </w:tc>
        <w:tc>
          <w:tcPr>
            <w:tcW w:w="0" w:type="auto"/>
            <w:tcBorders>
              <w:top w:val="nil"/>
              <w:left w:val="nil"/>
              <w:bottom w:val="nil"/>
              <w:right w:val="nil"/>
            </w:tcBorders>
            <w:noWrap w:val="0"/>
            <w:tcMar>
              <w:top w:w="40" w:type="dxa"/>
              <w:left w:w="50" w:type="dxa"/>
              <w:bottom w:w="40" w:type="dxa"/>
              <w:right w:w="50" w:type="dxa"/>
            </w:tcMar>
            <w:vAlign w:val="center"/>
          </w:tcPr>
          <w:p ns1:paraId="764ADF4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89</w:t>
            </w:r>
          </w:p>
        </w:tc>
        <w:tc>
          <w:tcPr>
            <w:tcW w:w="0" w:type="auto"/>
            <w:tcBorders>
              <w:top w:val="nil"/>
              <w:left w:val="nil"/>
              <w:bottom w:val="nil"/>
              <w:right w:val="nil"/>
            </w:tcBorders>
            <w:noWrap w:val="0"/>
            <w:tcMar>
              <w:top w:w="40" w:type="dxa"/>
              <w:left w:w="50" w:type="dxa"/>
              <w:bottom w:w="40" w:type="dxa"/>
              <w:right w:w="50" w:type="dxa"/>
            </w:tcMar>
            <w:vAlign w:val="center"/>
          </w:tcPr>
          <w:p ns1:paraId="390D860D">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w:t>
            </w:r>
          </w:p>
        </w:tc>
        <w:tc>
          <w:tcPr>
            <w:tcW w:w="0" w:type="auto"/>
            <w:tcBorders>
              <w:top w:val="nil"/>
              <w:left w:val="nil"/>
              <w:bottom w:val="nil"/>
              <w:right w:val="nil"/>
            </w:tcBorders>
            <w:noWrap w:val="0"/>
            <w:tcMar>
              <w:top w:w="40" w:type="dxa"/>
              <w:left w:w="50" w:type="dxa"/>
              <w:bottom w:w="40" w:type="dxa"/>
              <w:right w:w="50" w:type="dxa"/>
            </w:tcMar>
            <w:vAlign w:val="center"/>
          </w:tcPr>
          <w:p ns1:paraId="7D8FDCFD">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84</w:t>
            </w:r>
          </w:p>
        </w:tc>
        <w:tc>
          <w:tcPr>
            <w:tcW w:w="0" w:type="auto"/>
            <w:tcBorders>
              <w:top w:val="nil"/>
              <w:left w:val="nil"/>
              <w:bottom w:val="nil"/>
              <w:right w:val="nil"/>
            </w:tcBorders>
            <w:noWrap w:val="0"/>
            <w:tcMar>
              <w:top w:w="40" w:type="dxa"/>
              <w:left w:w="50" w:type="dxa"/>
              <w:bottom w:w="40" w:type="dxa"/>
              <w:right w:w="50" w:type="dxa"/>
            </w:tcMar>
            <w:vAlign w:val="center"/>
          </w:tcPr>
          <w:p ns1:paraId="628E4F0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291,202</w:t>
            </w:r>
          </w:p>
        </w:tc>
        <w:tc>
          <w:tcPr>
            <w:tcW w:w="0" w:type="auto"/>
            <w:tcBorders>
              <w:top w:val="nil"/>
              <w:left w:val="nil"/>
              <w:bottom w:val="nil"/>
              <w:right w:val="nil"/>
            </w:tcBorders>
            <w:noWrap w:val="0"/>
            <w:tcMar>
              <w:top w:w="40" w:type="dxa"/>
              <w:left w:w="50" w:type="dxa"/>
              <w:bottom w:w="40" w:type="dxa"/>
              <w:right w:w="50" w:type="dxa"/>
            </w:tcMar>
            <w:vAlign w:val="center"/>
          </w:tcPr>
          <w:p ns1:paraId="75567893">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3,271.93</w:t>
            </w:r>
          </w:p>
        </w:tc>
        <w:tc>
          <w:tcPr>
            <w:tcW w:w="1509" w:type="dxa"/>
            <w:tcBorders>
              <w:top w:val="nil"/>
              <w:left w:val="nil"/>
              <w:bottom w:val="nil"/>
              <w:right w:val="nil"/>
            </w:tcBorders>
            <w:noWrap w:val="0"/>
            <w:tcMar>
              <w:top w:w="40" w:type="dxa"/>
              <w:left w:w="50" w:type="dxa"/>
              <w:bottom w:w="40" w:type="dxa"/>
              <w:right w:w="50" w:type="dxa"/>
            </w:tcMar>
            <w:vAlign w:val="center"/>
          </w:tcPr>
          <w:p ns1:paraId="2B55D6B0">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47.47</w:t>
            </w:r>
          </w:p>
        </w:tc>
      </w:tr>
      <w:tr ns1: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0A42C98B">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2021</w:t>
            </w:r>
          </w:p>
        </w:tc>
        <w:tc>
          <w:tcPr>
            <w:tcW w:w="0" w:type="auto"/>
            <w:tcBorders>
              <w:top w:val="nil"/>
              <w:left w:val="nil"/>
              <w:bottom w:val="nil"/>
              <w:right w:val="nil"/>
            </w:tcBorders>
            <w:noWrap w:val="0"/>
            <w:tcMar>
              <w:top w:w="40" w:type="dxa"/>
              <w:left w:w="50" w:type="dxa"/>
              <w:bottom w:w="40" w:type="dxa"/>
              <w:right w:w="50" w:type="dxa"/>
            </w:tcMar>
            <w:vAlign w:val="center"/>
          </w:tcPr>
          <w:p ns1:paraId="541ADD11">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60</w:t>
            </w:r>
          </w:p>
        </w:tc>
        <w:tc>
          <w:tcPr>
            <w:tcW w:w="0" w:type="auto"/>
            <w:tcBorders>
              <w:top w:val="nil"/>
              <w:left w:val="nil"/>
              <w:bottom w:val="nil"/>
              <w:right w:val="nil"/>
            </w:tcBorders>
            <w:noWrap w:val="0"/>
            <w:tcMar>
              <w:top w:w="40" w:type="dxa"/>
              <w:left w:w="50" w:type="dxa"/>
              <w:bottom w:w="40" w:type="dxa"/>
              <w:right w:w="50" w:type="dxa"/>
            </w:tcMar>
            <w:vAlign w:val="center"/>
          </w:tcPr>
          <w:p ns1:paraId="781CF05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w:t>
            </w:r>
          </w:p>
        </w:tc>
        <w:tc>
          <w:tcPr>
            <w:tcW w:w="0" w:type="auto"/>
            <w:tcBorders>
              <w:top w:val="nil"/>
              <w:left w:val="nil"/>
              <w:bottom w:val="nil"/>
              <w:right w:val="nil"/>
            </w:tcBorders>
            <w:noWrap w:val="0"/>
            <w:tcMar>
              <w:top w:w="40" w:type="dxa"/>
              <w:left w:w="50" w:type="dxa"/>
              <w:bottom w:w="40" w:type="dxa"/>
              <w:right w:w="50" w:type="dxa"/>
            </w:tcMar>
            <w:vAlign w:val="center"/>
          </w:tcPr>
          <w:p ns1:paraId="6B32DA2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59</w:t>
            </w:r>
          </w:p>
        </w:tc>
        <w:tc>
          <w:tcPr>
            <w:tcW w:w="0" w:type="auto"/>
            <w:tcBorders>
              <w:top w:val="nil"/>
              <w:left w:val="nil"/>
              <w:bottom w:val="nil"/>
              <w:right w:val="nil"/>
            </w:tcBorders>
            <w:noWrap w:val="0"/>
            <w:tcMar>
              <w:top w:w="40" w:type="dxa"/>
              <w:left w:w="50" w:type="dxa"/>
              <w:bottom w:w="40" w:type="dxa"/>
              <w:right w:w="50" w:type="dxa"/>
            </w:tcMar>
            <w:vAlign w:val="center"/>
          </w:tcPr>
          <w:p ns1:paraId="26BBDD3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217,655</w:t>
            </w:r>
          </w:p>
        </w:tc>
        <w:tc>
          <w:tcPr>
            <w:tcW w:w="0" w:type="auto"/>
            <w:tcBorders>
              <w:top w:val="nil"/>
              <w:left w:val="nil"/>
              <w:bottom w:val="nil"/>
              <w:right w:val="nil"/>
            </w:tcBorders>
            <w:noWrap w:val="0"/>
            <w:tcMar>
              <w:top w:w="40" w:type="dxa"/>
              <w:left w:w="50" w:type="dxa"/>
              <w:bottom w:w="40" w:type="dxa"/>
              <w:right w:w="50" w:type="dxa"/>
            </w:tcMar>
            <w:vAlign w:val="center"/>
          </w:tcPr>
          <w:p ns1:paraId="6ED515CE">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3,627.58</w:t>
            </w:r>
          </w:p>
        </w:tc>
        <w:tc>
          <w:tcPr>
            <w:tcW w:w="1509" w:type="dxa"/>
            <w:tcBorders>
              <w:top w:val="nil"/>
              <w:left w:val="nil"/>
              <w:bottom w:val="nil"/>
              <w:right w:val="nil"/>
            </w:tcBorders>
            <w:noWrap w:val="0"/>
            <w:tcMar>
              <w:top w:w="40" w:type="dxa"/>
              <w:left w:w="50" w:type="dxa"/>
              <w:bottom w:w="40" w:type="dxa"/>
              <w:right w:w="50" w:type="dxa"/>
            </w:tcMar>
            <w:vAlign w:val="center"/>
          </w:tcPr>
          <w:p ns1:paraId="6C53FE31">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62.75</w:t>
            </w:r>
          </w:p>
        </w:tc>
      </w:tr>
      <w:tr ns1: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50747BC0">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2022</w:t>
            </w:r>
          </w:p>
        </w:tc>
        <w:tc>
          <w:tcPr>
            <w:tcW w:w="0" w:type="auto"/>
            <w:tcBorders>
              <w:top w:val="nil"/>
              <w:left w:val="nil"/>
              <w:bottom w:val="nil"/>
              <w:right w:val="nil"/>
            </w:tcBorders>
            <w:noWrap w:val="0"/>
            <w:tcMar>
              <w:top w:w="40" w:type="dxa"/>
              <w:left w:w="50" w:type="dxa"/>
              <w:bottom w:w="40" w:type="dxa"/>
              <w:right w:w="50" w:type="dxa"/>
            </w:tcMar>
            <w:vAlign w:val="center"/>
          </w:tcPr>
          <w:p ns1:paraId="1BB3C024">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56</w:t>
            </w:r>
          </w:p>
        </w:tc>
        <w:tc>
          <w:tcPr>
            <w:tcW w:w="0" w:type="auto"/>
            <w:tcBorders>
              <w:top w:val="nil"/>
              <w:left w:val="nil"/>
              <w:bottom w:val="nil"/>
              <w:right w:val="nil"/>
            </w:tcBorders>
            <w:noWrap w:val="0"/>
            <w:tcMar>
              <w:top w:w="40" w:type="dxa"/>
              <w:left w:w="50" w:type="dxa"/>
              <w:bottom w:w="40" w:type="dxa"/>
              <w:right w:w="50" w:type="dxa"/>
            </w:tcMar>
            <w:vAlign w:val="center"/>
          </w:tcPr>
          <w:p ns1:paraId="5A8A2007">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w:t>
            </w:r>
          </w:p>
        </w:tc>
        <w:tc>
          <w:tcPr>
            <w:tcW w:w="0" w:type="auto"/>
            <w:tcBorders>
              <w:top w:val="nil"/>
              <w:left w:val="nil"/>
              <w:bottom w:val="nil"/>
              <w:right w:val="nil"/>
            </w:tcBorders>
            <w:noWrap w:val="0"/>
            <w:tcMar>
              <w:top w:w="40" w:type="dxa"/>
              <w:left w:w="50" w:type="dxa"/>
              <w:bottom w:w="40" w:type="dxa"/>
              <w:right w:w="50" w:type="dxa"/>
            </w:tcMar>
            <w:vAlign w:val="center"/>
          </w:tcPr>
          <w:p ns1:paraId="4A85E33A">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54</w:t>
            </w:r>
          </w:p>
        </w:tc>
        <w:tc>
          <w:tcPr>
            <w:tcW w:w="0" w:type="auto"/>
            <w:tcBorders>
              <w:top w:val="nil"/>
              <w:left w:val="nil"/>
              <w:bottom w:val="nil"/>
              <w:right w:val="nil"/>
            </w:tcBorders>
            <w:noWrap w:val="0"/>
            <w:tcMar>
              <w:top w:w="40" w:type="dxa"/>
              <w:left w:w="50" w:type="dxa"/>
              <w:bottom w:w="40" w:type="dxa"/>
              <w:right w:w="50" w:type="dxa"/>
            </w:tcMar>
            <w:vAlign w:val="center"/>
          </w:tcPr>
          <w:p ns1:paraId="6E48E288">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190,596</w:t>
            </w:r>
          </w:p>
        </w:tc>
        <w:tc>
          <w:tcPr>
            <w:tcW w:w="0" w:type="auto"/>
            <w:tcBorders>
              <w:top w:val="nil"/>
              <w:left w:val="nil"/>
              <w:bottom w:val="nil"/>
              <w:right w:val="nil"/>
            </w:tcBorders>
            <w:noWrap w:val="0"/>
            <w:tcMar>
              <w:top w:w="40" w:type="dxa"/>
              <w:left w:w="50" w:type="dxa"/>
              <w:bottom w:w="40" w:type="dxa"/>
              <w:right w:w="50" w:type="dxa"/>
            </w:tcMar>
            <w:vAlign w:val="center"/>
          </w:tcPr>
          <w:p ns1:paraId="208640B8">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3,403.50</w:t>
            </w:r>
          </w:p>
        </w:tc>
        <w:tc>
          <w:tcPr>
            <w:tcW w:w="1509" w:type="dxa"/>
            <w:tcBorders>
              <w:top w:val="nil"/>
              <w:left w:val="nil"/>
              <w:bottom w:val="nil"/>
              <w:right w:val="nil"/>
            </w:tcBorders>
            <w:noWrap w:val="0"/>
            <w:tcMar>
              <w:top w:w="40" w:type="dxa"/>
              <w:left w:w="50" w:type="dxa"/>
              <w:bottom w:w="40" w:type="dxa"/>
              <w:right w:w="50" w:type="dxa"/>
            </w:tcMar>
            <w:vAlign w:val="center"/>
          </w:tcPr>
          <w:p ns1:paraId="1D42A5E9">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52.93</w:t>
            </w:r>
          </w:p>
        </w:tc>
      </w:tr>
      <w:tr ns1: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66C916A1">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2023</w:t>
            </w:r>
          </w:p>
        </w:tc>
        <w:tc>
          <w:tcPr>
            <w:tcW w:w="0" w:type="auto"/>
            <w:tcBorders>
              <w:top w:val="nil"/>
              <w:left w:val="nil"/>
              <w:bottom w:val="nil"/>
              <w:right w:val="nil"/>
            </w:tcBorders>
            <w:noWrap w:val="0"/>
            <w:tcMar>
              <w:top w:w="40" w:type="dxa"/>
              <w:left w:w="50" w:type="dxa"/>
              <w:bottom w:w="40" w:type="dxa"/>
              <w:right w:w="50" w:type="dxa"/>
            </w:tcMar>
            <w:vAlign w:val="center"/>
          </w:tcPr>
          <w:p ns1:paraId="3F468FC9">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19</w:t>
            </w:r>
          </w:p>
        </w:tc>
        <w:tc>
          <w:tcPr>
            <w:tcW w:w="0" w:type="auto"/>
            <w:tcBorders>
              <w:top w:val="nil"/>
              <w:left w:val="nil"/>
              <w:bottom w:val="nil"/>
              <w:right w:val="nil"/>
            </w:tcBorders>
            <w:noWrap w:val="0"/>
            <w:tcMar>
              <w:top w:w="40" w:type="dxa"/>
              <w:left w:w="50" w:type="dxa"/>
              <w:bottom w:w="40" w:type="dxa"/>
              <w:right w:w="50" w:type="dxa"/>
            </w:tcMar>
            <w:vAlign w:val="center"/>
          </w:tcPr>
          <w:p ns1:paraId="1DCBE50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w:t>
            </w:r>
          </w:p>
        </w:tc>
        <w:tc>
          <w:tcPr>
            <w:tcW w:w="0" w:type="auto"/>
            <w:tcBorders>
              <w:top w:val="nil"/>
              <w:left w:val="nil"/>
              <w:bottom w:val="nil"/>
              <w:right w:val="nil"/>
            </w:tcBorders>
            <w:noWrap w:val="0"/>
            <w:tcMar>
              <w:top w:w="40" w:type="dxa"/>
              <w:left w:w="50" w:type="dxa"/>
              <w:bottom w:w="40" w:type="dxa"/>
              <w:right w:w="50" w:type="dxa"/>
            </w:tcMar>
            <w:vAlign w:val="center"/>
          </w:tcPr>
          <w:p ns1:paraId="17E49685">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16</w:t>
            </w:r>
          </w:p>
        </w:tc>
        <w:tc>
          <w:tcPr>
            <w:tcW w:w="0" w:type="auto"/>
            <w:tcBorders>
              <w:top w:val="nil"/>
              <w:left w:val="nil"/>
              <w:bottom w:val="nil"/>
              <w:right w:val="nil"/>
            </w:tcBorders>
            <w:noWrap w:val="0"/>
            <w:tcMar>
              <w:top w:w="40" w:type="dxa"/>
              <w:left w:w="50" w:type="dxa"/>
              <w:bottom w:w="40" w:type="dxa"/>
              <w:right w:w="50" w:type="dxa"/>
            </w:tcMar>
            <w:vAlign w:val="center"/>
          </w:tcPr>
          <w:p ns1:paraId="131C2147">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66,766</w:t>
            </w:r>
          </w:p>
        </w:tc>
        <w:tc>
          <w:tcPr>
            <w:tcW w:w="0" w:type="auto"/>
            <w:tcBorders>
              <w:top w:val="nil"/>
              <w:left w:val="nil"/>
              <w:bottom w:val="nil"/>
              <w:right w:val="nil"/>
            </w:tcBorders>
            <w:noWrap w:val="0"/>
            <w:tcMar>
              <w:top w:w="40" w:type="dxa"/>
              <w:left w:w="50" w:type="dxa"/>
              <w:bottom w:w="40" w:type="dxa"/>
              <w:right w:w="50" w:type="dxa"/>
            </w:tcMar>
            <w:vAlign w:val="center"/>
          </w:tcPr>
          <w:p ns1:paraId="1FF84F3F">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3,514.00</w:t>
            </w:r>
          </w:p>
        </w:tc>
        <w:tc>
          <w:tcPr>
            <w:tcW w:w="1509" w:type="dxa"/>
            <w:tcBorders>
              <w:top w:val="nil"/>
              <w:left w:val="nil"/>
              <w:bottom w:val="nil"/>
              <w:right w:val="nil"/>
            </w:tcBorders>
            <w:noWrap w:val="0"/>
            <w:tcMar>
              <w:top w:w="40" w:type="dxa"/>
              <w:left w:w="50" w:type="dxa"/>
              <w:bottom w:w="40" w:type="dxa"/>
              <w:right w:w="50" w:type="dxa"/>
            </w:tcMar>
            <w:vAlign w:val="center"/>
          </w:tcPr>
          <w:p ns1:paraId="3FB2D9C5">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53.16</w:t>
            </w:r>
          </w:p>
        </w:tc>
      </w:tr>
      <w:tr ns1: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281C606D">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2024</w:t>
            </w:r>
          </w:p>
        </w:tc>
        <w:tc>
          <w:tcPr>
            <w:tcW w:w="0" w:type="auto"/>
            <w:tcBorders>
              <w:top w:val="nil"/>
              <w:left w:val="nil"/>
              <w:bottom w:val="nil"/>
              <w:right w:val="nil"/>
            </w:tcBorders>
            <w:noWrap w:val="0"/>
            <w:tcMar>
              <w:top w:w="40" w:type="dxa"/>
              <w:left w:w="50" w:type="dxa"/>
              <w:bottom w:w="40" w:type="dxa"/>
              <w:right w:w="50" w:type="dxa"/>
            </w:tcMar>
            <w:vAlign w:val="center"/>
          </w:tcPr>
          <w:p ns1:paraId="3453ABB7">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29</w:t>
            </w:r>
          </w:p>
        </w:tc>
        <w:tc>
          <w:tcPr>
            <w:tcW w:w="0" w:type="auto"/>
            <w:tcBorders>
              <w:top w:val="nil"/>
              <w:left w:val="nil"/>
              <w:bottom w:val="nil"/>
              <w:right w:val="nil"/>
            </w:tcBorders>
            <w:noWrap w:val="0"/>
            <w:tcMar>
              <w:top w:w="40" w:type="dxa"/>
              <w:left w:w="50" w:type="dxa"/>
              <w:bottom w:w="40" w:type="dxa"/>
              <w:right w:w="50" w:type="dxa"/>
            </w:tcMar>
            <w:vAlign w:val="center"/>
          </w:tcPr>
          <w:p ns1:paraId="0D93769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4</w:t>
            </w:r>
          </w:p>
        </w:tc>
        <w:tc>
          <w:tcPr>
            <w:tcW w:w="0" w:type="auto"/>
            <w:tcBorders>
              <w:top w:val="nil"/>
              <w:left w:val="nil"/>
              <w:bottom w:val="nil"/>
              <w:right w:val="nil"/>
            </w:tcBorders>
            <w:noWrap w:val="0"/>
            <w:tcMar>
              <w:top w:w="40" w:type="dxa"/>
              <w:left w:w="50" w:type="dxa"/>
              <w:bottom w:w="40" w:type="dxa"/>
              <w:right w:w="50" w:type="dxa"/>
            </w:tcMar>
            <w:vAlign w:val="center"/>
          </w:tcPr>
          <w:p ns1:paraId="70008EB5">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25</w:t>
            </w:r>
          </w:p>
        </w:tc>
        <w:tc>
          <w:tcPr>
            <w:tcW w:w="0" w:type="auto"/>
            <w:tcBorders>
              <w:top w:val="nil"/>
              <w:left w:val="nil"/>
              <w:bottom w:val="nil"/>
              <w:right w:val="nil"/>
            </w:tcBorders>
            <w:noWrap w:val="0"/>
            <w:tcMar>
              <w:top w:w="40" w:type="dxa"/>
              <w:left w:w="50" w:type="dxa"/>
              <w:bottom w:w="40" w:type="dxa"/>
              <w:right w:w="50" w:type="dxa"/>
            </w:tcMar>
            <w:vAlign w:val="center"/>
          </w:tcPr>
          <w:p ns1:paraId="0C3F7EF1">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59,873</w:t>
            </w:r>
          </w:p>
        </w:tc>
        <w:tc>
          <w:tcPr>
            <w:tcW w:w="0" w:type="auto"/>
            <w:tcBorders>
              <w:top w:val="nil"/>
              <w:left w:val="nil"/>
              <w:bottom w:val="nil"/>
              <w:right w:val="nil"/>
            </w:tcBorders>
            <w:noWrap w:val="0"/>
            <w:tcMar>
              <w:top w:w="40" w:type="dxa"/>
              <w:left w:w="50" w:type="dxa"/>
              <w:bottom w:w="40" w:type="dxa"/>
              <w:right w:w="50" w:type="dxa"/>
            </w:tcMar>
            <w:vAlign w:val="center"/>
          </w:tcPr>
          <w:p ns1:paraId="599551A4">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2,064.59</w:t>
            </w:r>
          </w:p>
        </w:tc>
        <w:tc>
          <w:tcPr>
            <w:tcW w:w="1509" w:type="dxa"/>
            <w:tcBorders>
              <w:top w:val="nil"/>
              <w:left w:val="nil"/>
              <w:bottom w:val="nil"/>
              <w:right w:val="nil"/>
            </w:tcBorders>
            <w:noWrap w:val="0"/>
            <w:tcMar>
              <w:top w:w="40" w:type="dxa"/>
              <w:left w:w="50" w:type="dxa"/>
              <w:bottom w:w="40" w:type="dxa"/>
              <w:right w:w="50" w:type="dxa"/>
            </w:tcMar>
            <w:vAlign w:val="center"/>
          </w:tcPr>
          <w:p ns1:paraId="24BA003E">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12.45</w:t>
            </w:r>
          </w:p>
        </w:tc>
      </w:tr>
      <w:tr ns1: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39FEE580">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2025</w:t>
            </w:r>
          </w:p>
        </w:tc>
        <w:tc>
          <w:tcPr>
            <w:tcW w:w="0" w:type="auto"/>
            <w:tcBorders>
              <w:top w:val="nil"/>
              <w:left w:val="nil"/>
              <w:bottom w:val="nil"/>
              <w:right w:val="nil"/>
            </w:tcBorders>
            <w:noWrap w:val="0"/>
            <w:tcMar>
              <w:top w:w="40" w:type="dxa"/>
              <w:left w:w="50" w:type="dxa"/>
              <w:bottom w:w="40" w:type="dxa"/>
              <w:right w:w="50" w:type="dxa"/>
            </w:tcMar>
            <w:vAlign w:val="center"/>
          </w:tcPr>
          <w:p ns1:paraId="0D6427B4">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10</w:t>
            </w:r>
          </w:p>
        </w:tc>
        <w:tc>
          <w:tcPr>
            <w:tcW w:w="0" w:type="auto"/>
            <w:tcBorders>
              <w:top w:val="nil"/>
              <w:left w:val="nil"/>
              <w:bottom w:val="nil"/>
              <w:right w:val="nil"/>
            </w:tcBorders>
            <w:noWrap w:val="0"/>
            <w:tcMar>
              <w:top w:w="40" w:type="dxa"/>
              <w:left w:w="50" w:type="dxa"/>
              <w:bottom w:w="40" w:type="dxa"/>
              <w:right w:w="50" w:type="dxa"/>
            </w:tcMar>
            <w:vAlign w:val="center"/>
          </w:tcPr>
          <w:p ns1:paraId="23CEA9AE">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4</w:t>
            </w:r>
          </w:p>
        </w:tc>
        <w:tc>
          <w:tcPr>
            <w:tcW w:w="0" w:type="auto"/>
            <w:tcBorders>
              <w:top w:val="nil"/>
              <w:left w:val="nil"/>
              <w:bottom w:val="nil"/>
              <w:right w:val="nil"/>
            </w:tcBorders>
            <w:noWrap w:val="0"/>
            <w:tcMar>
              <w:top w:w="40" w:type="dxa"/>
              <w:left w:w="50" w:type="dxa"/>
              <w:bottom w:w="40" w:type="dxa"/>
              <w:right w:w="50" w:type="dxa"/>
            </w:tcMar>
            <w:vAlign w:val="center"/>
          </w:tcPr>
          <w:p ns1:paraId="637655FA">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6</w:t>
            </w:r>
          </w:p>
        </w:tc>
        <w:tc>
          <w:tcPr>
            <w:tcW w:w="0" w:type="auto"/>
            <w:tcBorders>
              <w:top w:val="nil"/>
              <w:left w:val="nil"/>
              <w:bottom w:val="nil"/>
              <w:right w:val="nil"/>
            </w:tcBorders>
            <w:noWrap w:val="0"/>
            <w:tcMar>
              <w:top w:w="40" w:type="dxa"/>
              <w:left w:w="50" w:type="dxa"/>
              <w:bottom w:w="40" w:type="dxa"/>
              <w:right w:w="50" w:type="dxa"/>
            </w:tcMar>
            <w:vAlign w:val="center"/>
          </w:tcPr>
          <w:p ns1:paraId="02BA1C51">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31,815</w:t>
            </w:r>
          </w:p>
        </w:tc>
        <w:tc>
          <w:tcPr>
            <w:tcW w:w="0" w:type="auto"/>
            <w:tcBorders>
              <w:top w:val="nil"/>
              <w:left w:val="nil"/>
              <w:bottom w:val="nil"/>
              <w:right w:val="nil"/>
            </w:tcBorders>
            <w:noWrap w:val="0"/>
            <w:tcMar>
              <w:top w:w="40" w:type="dxa"/>
              <w:left w:w="50" w:type="dxa"/>
              <w:bottom w:w="40" w:type="dxa"/>
              <w:right w:w="50" w:type="dxa"/>
            </w:tcMar>
            <w:vAlign w:val="center"/>
          </w:tcPr>
          <w:p ns1:paraId="097E9B98">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3,181.50</w:t>
            </w:r>
          </w:p>
        </w:tc>
        <w:tc>
          <w:tcPr>
            <w:tcW w:w="1509" w:type="dxa"/>
            <w:tcBorders>
              <w:top w:val="nil"/>
              <w:left w:val="nil"/>
              <w:bottom w:val="nil"/>
              <w:right w:val="nil"/>
            </w:tcBorders>
            <w:noWrap w:val="0"/>
            <w:tcMar>
              <w:top w:w="40" w:type="dxa"/>
              <w:left w:w="50" w:type="dxa"/>
              <w:bottom w:w="40" w:type="dxa"/>
              <w:right w:w="50" w:type="dxa"/>
            </w:tcMar>
            <w:vAlign w:val="center"/>
          </w:tcPr>
          <w:p ns1:paraId="73D35052">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58.50</w:t>
            </w:r>
          </w:p>
        </w:tc>
      </w:tr>
      <w:tr ns1: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2D39FC9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无年份</w:t>
            </w:r>
          </w:p>
        </w:tc>
        <w:tc>
          <w:tcPr>
            <w:tcW w:w="0" w:type="auto"/>
            <w:tcBorders>
              <w:top w:val="nil"/>
              <w:left w:val="nil"/>
              <w:bottom w:val="nil"/>
              <w:right w:val="nil"/>
            </w:tcBorders>
            <w:noWrap w:val="0"/>
            <w:tcMar>
              <w:top w:w="40" w:type="dxa"/>
              <w:left w:w="50" w:type="dxa"/>
              <w:bottom w:w="40" w:type="dxa"/>
              <w:right w:w="50" w:type="dxa"/>
            </w:tcMar>
            <w:vAlign w:val="center"/>
          </w:tcPr>
          <w:p ns1:paraId="09945A0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13</w:t>
            </w:r>
          </w:p>
        </w:tc>
        <w:tc>
          <w:tcPr>
            <w:tcW w:w="0" w:type="auto"/>
            <w:tcBorders>
              <w:top w:val="nil"/>
              <w:left w:val="nil"/>
              <w:bottom w:val="nil"/>
              <w:right w:val="nil"/>
            </w:tcBorders>
            <w:noWrap w:val="0"/>
            <w:tcMar>
              <w:top w:w="40" w:type="dxa"/>
              <w:left w:w="50" w:type="dxa"/>
              <w:bottom w:w="40" w:type="dxa"/>
              <w:right w:w="50" w:type="dxa"/>
            </w:tcMar>
            <w:vAlign w:val="center"/>
          </w:tcPr>
          <w:p ns1:paraId="4B27CEAF">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0</w:t>
            </w:r>
          </w:p>
        </w:tc>
        <w:tc>
          <w:tcPr>
            <w:tcW w:w="0" w:type="auto"/>
            <w:tcBorders>
              <w:top w:val="nil"/>
              <w:left w:val="nil"/>
              <w:bottom w:val="nil"/>
              <w:right w:val="nil"/>
            </w:tcBorders>
            <w:noWrap w:val="0"/>
            <w:tcMar>
              <w:top w:w="40" w:type="dxa"/>
              <w:left w:w="50" w:type="dxa"/>
              <w:bottom w:w="40" w:type="dxa"/>
              <w:right w:w="50" w:type="dxa"/>
            </w:tcMar>
            <w:vAlign w:val="center"/>
          </w:tcPr>
          <w:p ns1:paraId="2DA22775">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13</w:t>
            </w:r>
          </w:p>
        </w:tc>
        <w:tc>
          <w:tcPr>
            <w:tcW w:w="0" w:type="auto"/>
            <w:tcBorders>
              <w:top w:val="nil"/>
              <w:left w:val="nil"/>
              <w:bottom w:val="nil"/>
              <w:right w:val="nil"/>
            </w:tcBorders>
            <w:noWrap w:val="0"/>
            <w:tcMar>
              <w:top w:w="40" w:type="dxa"/>
              <w:left w:w="50" w:type="dxa"/>
              <w:bottom w:w="40" w:type="dxa"/>
              <w:right w:w="50" w:type="dxa"/>
            </w:tcMar>
            <w:vAlign w:val="center"/>
          </w:tcPr>
          <w:p ns1:paraId="56316E46">
            <w:pPr>
              <w:snapToGrid w:val="0"/>
              <w:spacing w:before="0" w:after="0" w:line="240" w:lineRule="auto"/>
              <w:ind w:left="0" w:leftChars="0" w:right="0" w:rightChars="0" w:firstLine="0" w:firstLineChars="0"/>
              <w:jc w:val="center"/>
              <w:rPr>
                <w:rFonts w:ascii="Noto Serif CJK SC" w:eastAsia="Noto Serif CJK SC"/>
                <w:sz w:val="16"/>
              </w:rPr>
            </w:pPr>
            <w:r>
              <w:rPr>
                <w:rFonts w:ascii="Noto Serif CJK SC" w:hAnsi="Noto Serif CJK SC" w:eastAsia="Noto Serif CJK SC"/>
                <w:b w:val="0"/>
                <w:sz w:val="16"/>
              </w:rPr>
              <w:t>28,956</w:t>
            </w:r>
          </w:p>
        </w:tc>
        <w:tc>
          <w:tcPr>
            <w:tcW w:w="0" w:type="auto"/>
            <w:tcBorders>
              <w:top w:val="nil"/>
              <w:left w:val="nil"/>
              <w:bottom w:val="nil"/>
              <w:right w:val="nil"/>
            </w:tcBorders>
            <w:noWrap w:val="0"/>
            <w:tcMar>
              <w:top w:w="40" w:type="dxa"/>
              <w:left w:w="50" w:type="dxa"/>
              <w:bottom w:w="40" w:type="dxa"/>
              <w:right w:w="50" w:type="dxa"/>
            </w:tcMar>
            <w:vAlign w:val="center"/>
          </w:tcPr>
          <w:p ns1:paraId="5F293574">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2,227.38</w:t>
            </w:r>
          </w:p>
        </w:tc>
        <w:tc>
          <w:tcPr>
            <w:tcW w:w="1509" w:type="dxa"/>
            <w:tcBorders>
              <w:top w:val="nil"/>
              <w:left w:val="nil"/>
              <w:bottom w:val="nil"/>
              <w:right w:val="nil"/>
            </w:tcBorders>
            <w:noWrap w:val="0"/>
            <w:tcMar>
              <w:top w:w="40" w:type="dxa"/>
              <w:left w:w="50" w:type="dxa"/>
              <w:bottom w:w="40" w:type="dxa"/>
              <w:right w:w="50" w:type="dxa"/>
            </w:tcMar>
            <w:vAlign w:val="center"/>
          </w:tcPr>
          <w:p ns1:paraId="1897307C">
            <w:pPr>
              <w:snapToGrid w:val="0"/>
              <w:spacing w:before="0" w:after="0" w:line="240" w:lineRule="auto"/>
              <w:ind w:left="0" w:leftChars="0" w:right="0" w:rightChars="0" w:firstLine="0" w:firstLineChars="0"/>
              <w:jc w:val="right"/>
              <w:rPr>
                <w:rFonts w:ascii="Noto Serif CJK SC" w:eastAsia="Noto Serif CJK SC"/>
                <w:sz w:val="16"/>
              </w:rPr>
            </w:pPr>
            <w:r>
              <w:rPr>
                <w:rFonts w:ascii="Noto Serif CJK SC" w:hAnsi="Noto Serif CJK SC" w:eastAsia="Noto Serif CJK SC"/>
                <w:b w:val="0"/>
                <w:sz w:val="16"/>
              </w:rPr>
              <w:t>37.08</w:t>
            </w:r>
          </w:p>
        </w:tc>
      </w:tr>
      <w:tr ns1: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966" w:type="dxa"/>
            <w:tcBorders>
              <w:top w:val="nil"/>
              <w:left w:val="nil"/>
              <w:bottom w:val="single" w:color="auto" w:sz="12" w:space="0"/>
              <w:right w:val="nil"/>
            </w:tcBorders>
            <w:noWrap w:val="0"/>
            <w:tcMar>
              <w:top w:w="40" w:type="dxa"/>
              <w:left w:w="50" w:type="dxa"/>
              <w:bottom w:w="40" w:type="dxa"/>
              <w:right w:w="50" w:type="dxa"/>
            </w:tcMar>
            <w:vAlign w:val="center"/>
          </w:tcPr>
          <w:p ns1:paraId="459CA552">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合计</w:t>
            </w:r>
          </w:p>
        </w:tc>
        <w:tc>
          <w:tcPr>
            <w:tcW w:w="1239" w:type="dxa"/>
            <w:tcBorders>
              <w:top w:val="nil"/>
              <w:left w:val="nil"/>
              <w:bottom w:val="single" w:color="auto" w:sz="12" w:space="0"/>
              <w:right w:val="nil"/>
            </w:tcBorders>
            <w:noWrap w:val="0"/>
            <w:tcMar>
              <w:top w:w="40" w:type="dxa"/>
              <w:left w:w="50" w:type="dxa"/>
              <w:bottom w:w="40" w:type="dxa"/>
              <w:right w:w="50" w:type="dxa"/>
            </w:tcMar>
            <w:vAlign w:val="center"/>
          </w:tcPr>
          <w:p ns1:paraId="47570E11">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1,472</w:t>
            </w:r>
          </w:p>
        </w:tc>
        <w:tc>
          <w:tcPr>
            <w:tcW w:w="1508" w:type="dxa"/>
            <w:tcBorders>
              <w:top w:val="nil"/>
              <w:left w:val="nil"/>
              <w:bottom w:val="single" w:color="auto" w:sz="12" w:space="0"/>
              <w:right w:val="nil"/>
            </w:tcBorders>
            <w:noWrap w:val="0"/>
            <w:tcMar>
              <w:top w:w="40" w:type="dxa"/>
              <w:left w:w="50" w:type="dxa"/>
              <w:bottom w:w="40" w:type="dxa"/>
              <w:right w:w="50" w:type="dxa"/>
            </w:tcMar>
            <w:vAlign w:val="center"/>
          </w:tcPr>
          <w:p ns1:paraId="229D2D54">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105</w:t>
            </w:r>
          </w:p>
        </w:tc>
        <w:tc>
          <w:tcPr>
            <w:tcW w:w="1508" w:type="dxa"/>
            <w:tcBorders>
              <w:top w:val="nil"/>
              <w:left w:val="nil"/>
              <w:bottom w:val="single" w:color="auto" w:sz="12" w:space="0"/>
              <w:right w:val="nil"/>
            </w:tcBorders>
            <w:noWrap w:val="0"/>
            <w:tcMar>
              <w:top w:w="40" w:type="dxa"/>
              <w:left w:w="50" w:type="dxa"/>
              <w:bottom w:w="40" w:type="dxa"/>
              <w:right w:w="50" w:type="dxa"/>
            </w:tcMar>
            <w:vAlign w:val="center"/>
          </w:tcPr>
          <w:p ns1:paraId="414003FD">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1,367</w:t>
            </w:r>
          </w:p>
        </w:tc>
        <w:tc>
          <w:tcPr>
            <w:tcW w:w="1715" w:type="dxa"/>
            <w:tcBorders>
              <w:top w:val="nil"/>
              <w:left w:val="nil"/>
              <w:bottom w:val="single" w:color="auto" w:sz="12" w:space="0"/>
              <w:right w:val="nil"/>
            </w:tcBorders>
            <w:noWrap w:val="0"/>
            <w:tcMar>
              <w:top w:w="40" w:type="dxa"/>
              <w:left w:w="50" w:type="dxa"/>
              <w:bottom w:w="40" w:type="dxa"/>
              <w:right w:w="50" w:type="dxa"/>
            </w:tcMar>
            <w:vAlign w:val="center"/>
          </w:tcPr>
          <w:p ns1:paraId="29E23B98">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5,272,818</w:t>
            </w:r>
          </w:p>
        </w:tc>
        <w:tc>
          <w:tcPr>
            <w:tcW w:w="2309" w:type="dxa"/>
            <w:tcBorders>
              <w:top w:val="nil"/>
              <w:left w:val="nil"/>
              <w:bottom w:val="single" w:color="auto" w:sz="12" w:space="0"/>
              <w:right w:val="nil"/>
            </w:tcBorders>
            <w:noWrap w:val="0"/>
            <w:tcMar>
              <w:top w:w="40" w:type="dxa"/>
              <w:left w:w="50" w:type="dxa"/>
              <w:bottom w:w="40" w:type="dxa"/>
              <w:right w:w="50" w:type="dxa"/>
            </w:tcMar>
            <w:vAlign w:val="center"/>
          </w:tcPr>
          <w:p ns1:paraId="57F5A3A5">
            <w:pPr>
              <w:snapToGrid w:val="0"/>
              <w:spacing w:before="0" w:after="0" w:line="240" w:lineRule="auto"/>
              <w:ind w:left="0" w:leftChars="0" w:right="0" w:rightChars="0" w:firstLine="0" w:firstLineChars="0"/>
              <w:jc w:val="right"/>
              <w:rPr>
                <w:rFonts w:ascii="Noto Serif CJK SC" w:eastAsia="Noto Serif CJK SC"/>
                <w:b/>
                <w:sz w:val="16"/>
              </w:rPr>
            </w:pPr>
            <w:r>
              <w:rPr>
                <w:rFonts w:ascii="Noto Serif CJK SC" w:hAnsi="Noto Serif CJK SC" w:eastAsia="Noto Serif CJK SC"/>
                <w:b/>
                <w:sz w:val="16"/>
              </w:rPr>
              <w:t>3,582.08</w:t>
            </w:r>
          </w:p>
        </w:tc>
        <w:tc>
          <w:tcPr>
            <w:tcW w:w="1509" w:type="dxa"/>
            <w:tcBorders>
              <w:top w:val="nil"/>
              <w:left w:val="nil"/>
              <w:bottom w:val="single" w:color="auto" w:sz="12" w:space="0"/>
              <w:right w:val="nil"/>
            </w:tcBorders>
            <w:noWrap w:val="0"/>
            <w:tcMar>
              <w:top w:w="40" w:type="dxa"/>
              <w:left w:w="50" w:type="dxa"/>
              <w:bottom w:w="40" w:type="dxa"/>
              <w:right w:w="50" w:type="dxa"/>
            </w:tcMar>
            <w:vAlign w:val="center"/>
          </w:tcPr>
          <w:p ns1:paraId="7CBCE16B">
            <w:pPr>
              <w:snapToGrid w:val="0"/>
              <w:spacing w:before="0" w:after="0" w:line="240" w:lineRule="auto"/>
              <w:ind w:left="0" w:leftChars="0" w:right="0" w:rightChars="0" w:firstLine="0" w:firstLineChars="0"/>
              <w:jc w:val="right"/>
              <w:rPr>
                <w:rFonts w:ascii="Noto Serif CJK SC" w:eastAsia="Noto Serif CJK SC"/>
                <w:b/>
                <w:sz w:val="16"/>
              </w:rPr>
            </w:pPr>
            <w:r>
              <w:rPr>
                <w:rFonts w:ascii="Noto Serif CJK SC" w:hAnsi="Noto Serif CJK SC" w:eastAsia="Noto Serif CJK SC"/>
                <w:b/>
                <w:sz w:val="16"/>
              </w:rPr>
              <w:t>60.72</w:t>
            </w:r>
          </w:p>
        </w:tc>
      </w:tr>
    </w:tbl>
    <w:p>
      <w:pPr>
        <w:jc w:val="center"/>
        <w:spacing w:before="0" w:after="0" w:line="420" w:lineRule="auto"/>
      </w:pPr>
      <w:r>
        <w:rPr>
          <w:rFonts w:ascii="Times New Roman" w:hAnsi="Times New Roman" w:eastAsia="宋体"/>
          <w:sz w:val="22"/>
          <w:szCs w:val="22"/>
        </w:rPr>
        <w:t>表3 V3主面板样本结构、处理时点与主要变量描述统计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4"/>
        <w:gridCol w:w="2664"/>
        <w:gridCol w:w="2664"/>
        <w:gridCol w:w="2664"/>
      </w:tblGrid>
      <w:tr ns1:paraId="42618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40" w:type="dxa"/>
              <w:left w:w="50" w:type="dxa"/>
              <w:bottom w:w="40" w:type="dxa"/>
              <w:right w:w="50" w:type="dxa"/>
            </w:tcMar>
            <w:vAlign w:val="center"/>
          </w:tcPr>
          <w:p ns1:paraId="4388D0C0">
            <w:pPr>
              <w:spacing w:before="0" w:after="0" w:line="240" w:lineRule="auto"/>
              <w:jc w:val="center"/>
            </w:pPr>
            <w:r>
              <w:rPr>
                <w:rFonts w:ascii="Noto Serif CJK SC" w:hAnsi="Noto Serif CJK SC" w:eastAsia="Noto Serif CJK SC"/>
                <w:b/>
                <w:sz w:val="16"/>
              </w:rPr>
              <w:t>主题维度</w:t>
            </w:r>
          </w:p>
        </w:tc>
        <w:tc>
          <w:tcPr>
            <w:tcW w:w="1800" w:type="dxa"/>
            <w:tcMar>
              <w:top w:w="40" w:type="dxa"/>
              <w:left w:w="50" w:type="dxa"/>
              <w:bottom w:w="40" w:type="dxa"/>
              <w:right w:w="50" w:type="dxa"/>
            </w:tcMar>
            <w:vAlign w:val="center"/>
          </w:tcPr>
          <w:p ns1:paraId="38A6F47A">
            <w:pPr>
              <w:spacing w:before="0" w:after="0" w:line="240" w:lineRule="auto"/>
              <w:jc w:val="center"/>
            </w:pPr>
            <w:r>
              <w:rPr>
                <w:rFonts w:ascii="Noto Serif CJK SC" w:hAnsi="Noto Serif CJK SC" w:eastAsia="Noto Serif CJK SC"/>
                <w:b/>
                <w:sz w:val="16"/>
              </w:rPr>
              <w:t>至少命中一次的文档数</w:t>
            </w:r>
          </w:p>
        </w:tc>
        <w:tc>
          <w:tcPr>
            <w:tcW w:w="1656" w:type="dxa"/>
            <w:tcMar>
              <w:top w:w="40" w:type="dxa"/>
              <w:left w:w="50" w:type="dxa"/>
              <w:bottom w:w="40" w:type="dxa"/>
              <w:right w:w="50" w:type="dxa"/>
            </w:tcMar>
            <w:vAlign w:val="center"/>
          </w:tcPr>
          <w:p ns1:paraId="0739F01C">
            <w:pPr>
              <w:spacing w:before="0" w:after="0" w:line="240" w:lineRule="auto"/>
              <w:jc w:val="center"/>
            </w:pPr>
            <w:r>
              <w:rPr>
                <w:rFonts w:ascii="Noto Serif CJK SC" w:hAnsi="Noto Serif CJK SC" w:eastAsia="Noto Serif CJK SC"/>
                <w:b/>
                <w:sz w:val="16"/>
              </w:rPr>
              <w:t>占全部文本比重（%）</w:t>
            </w:r>
          </w:p>
        </w:tc>
        <w:tc>
          <w:tcPr>
            <w:tcW w:w="4392" w:type="dxa"/>
            <w:tcMar>
              <w:top w:w="40" w:type="dxa"/>
              <w:left w:w="50" w:type="dxa"/>
              <w:bottom w:w="40" w:type="dxa"/>
              <w:right w:w="50" w:type="dxa"/>
            </w:tcMar>
            <w:vAlign w:val="center"/>
          </w:tcPr>
          <w:p ns1:paraId="569E7970">
            <w:pPr>
              <w:spacing w:before="0" w:after="0" w:line="240" w:lineRule="auto"/>
              <w:jc w:val="center"/>
            </w:pPr>
            <w:r>
              <w:rPr>
                <w:rFonts w:ascii="Noto Serif CJK SC" w:hAnsi="Noto Serif CJK SC" w:eastAsia="Noto Serif CJK SC"/>
                <w:b/>
                <w:sz w:val="16"/>
              </w:rPr>
              <w:t>说明</w:t>
            </w:r>
          </w:p>
        </w:tc>
      </w:tr>
      <w:tr ns1:paraId="526A0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40" w:type="dxa"/>
              <w:left w:w="50" w:type="dxa"/>
              <w:bottom w:w="40" w:type="dxa"/>
              <w:right w:w="50" w:type="dxa"/>
            </w:tcMar>
            <w:vAlign w:val="center"/>
          </w:tcPr>
          <w:p ns1:paraId="0543EF42">
            <w:pPr>
              <w:spacing w:before="0" w:after="0" w:line="240" w:lineRule="auto"/>
              <w:jc w:val="center"/>
            </w:pPr>
            <w:r>
              <w:rPr>
                <w:rFonts w:ascii="Noto Serif CJK SC" w:hAnsi="Noto Serif CJK SC" w:eastAsia="Noto Serif CJK SC"/>
                <w:b w:val="0"/>
                <w:sz w:val="16"/>
              </w:rPr>
              <w:t>A（数字治理接口）</w:t>
            </w:r>
          </w:p>
        </w:tc>
        <w:tc>
          <w:tcPr>
            <w:tcW w:w="1800" w:type="dxa"/>
            <w:tcMar>
              <w:top w:w="40" w:type="dxa"/>
              <w:left w:w="50" w:type="dxa"/>
              <w:bottom w:w="40" w:type="dxa"/>
              <w:right w:w="50" w:type="dxa"/>
            </w:tcMar>
            <w:vAlign w:val="center"/>
          </w:tcPr>
          <w:p ns1:paraId="1A1A87E0">
            <w:pPr>
              <w:spacing w:before="0" w:after="0" w:line="240" w:lineRule="auto"/>
              <w:jc w:val="center"/>
            </w:pPr>
            <w:r>
              <w:rPr>
                <w:rFonts w:ascii="Noto Serif CJK SC" w:hAnsi="Noto Serif CJK SC" w:eastAsia="Noto Serif CJK SC"/>
                <w:b w:val="0"/>
                <w:sz w:val="16"/>
              </w:rPr>
              <w:t>1121</w:t>
            </w:r>
          </w:p>
        </w:tc>
        <w:tc>
          <w:tcPr>
            <w:tcW w:w="1656" w:type="dxa"/>
            <w:tcMar>
              <w:top w:w="40" w:type="dxa"/>
              <w:left w:w="50" w:type="dxa"/>
              <w:bottom w:w="40" w:type="dxa"/>
              <w:right w:w="50" w:type="dxa"/>
            </w:tcMar>
            <w:vAlign w:val="center"/>
          </w:tcPr>
          <w:p ns1:paraId="4F5955BB">
            <w:pPr>
              <w:spacing w:before="0" w:after="0" w:line="240" w:lineRule="auto"/>
              <w:jc w:val="center"/>
            </w:pPr>
            <w:r>
              <w:rPr>
                <w:rFonts w:ascii="Noto Serif CJK SC" w:hAnsi="Noto Serif CJK SC" w:eastAsia="Noto Serif CJK SC"/>
                <w:b w:val="0"/>
                <w:sz w:val="16"/>
              </w:rPr>
              <w:t>76.15</w:t>
            </w:r>
          </w:p>
        </w:tc>
        <w:tc>
          <w:tcPr>
            <w:tcW w:w="4392" w:type="dxa"/>
            <w:tcMar>
              <w:top w:w="40" w:type="dxa"/>
              <w:left w:w="50" w:type="dxa"/>
              <w:bottom w:w="40" w:type="dxa"/>
              <w:right w:w="50" w:type="dxa"/>
            </w:tcMar>
            <w:vAlign w:val="center"/>
          </w:tcPr>
          <w:p ns1:paraId="4691D48B">
            <w:pPr>
              <w:spacing w:before="0" w:after="0" w:line="240" w:lineRule="auto"/>
              <w:jc w:val="center"/>
            </w:pPr>
            <w:r>
              <w:rPr>
                <w:rFonts w:ascii="Noto Serif CJK SC" w:hAnsi="Noto Serif CJK SC" w:eastAsia="Noto Serif CJK SC"/>
                <w:b w:val="0"/>
                <w:sz w:val="16"/>
              </w:rPr>
              <w:t>数字平台、数据共享、信息公开等表达在文本中覆盖较广</w:t>
            </w:r>
          </w:p>
        </w:tc>
      </w:tr>
      <w:tr ns1:paraId="489D5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40" w:type="dxa"/>
              <w:left w:w="50" w:type="dxa"/>
              <w:bottom w:w="40" w:type="dxa"/>
              <w:right w:w="50" w:type="dxa"/>
            </w:tcMar>
            <w:vAlign w:val="center"/>
          </w:tcPr>
          <w:p ns1:paraId="5A1936B3">
            <w:pPr>
              <w:spacing w:before="0" w:after="0" w:line="240" w:lineRule="auto"/>
              <w:jc w:val="center"/>
            </w:pPr>
            <w:r>
              <w:rPr>
                <w:rFonts w:ascii="Noto Serif CJK SC" w:hAnsi="Noto Serif CJK SC" w:eastAsia="Noto Serif CJK SC"/>
                <w:b w:val="0"/>
                <w:sz w:val="16"/>
              </w:rPr>
              <w:t>B（前端规范准入）</w:t>
            </w:r>
          </w:p>
        </w:tc>
        <w:tc>
          <w:tcPr>
            <w:tcW w:w="1800" w:type="dxa"/>
            <w:tcMar>
              <w:top w:w="40" w:type="dxa"/>
              <w:left w:w="50" w:type="dxa"/>
              <w:bottom w:w="40" w:type="dxa"/>
              <w:right w:w="50" w:type="dxa"/>
            </w:tcMar>
            <w:vAlign w:val="center"/>
          </w:tcPr>
          <w:p ns1:paraId="6B0E81D8">
            <w:pPr>
              <w:spacing w:before="0" w:after="0" w:line="240" w:lineRule="auto"/>
              <w:jc w:val="center"/>
            </w:pPr>
            <w:r>
              <w:rPr>
                <w:rFonts w:ascii="Noto Serif CJK SC" w:hAnsi="Noto Serif CJK SC" w:eastAsia="Noto Serif CJK SC"/>
                <w:b w:val="0"/>
                <w:sz w:val="16"/>
              </w:rPr>
              <w:t>1234</w:t>
            </w:r>
          </w:p>
        </w:tc>
        <w:tc>
          <w:tcPr>
            <w:tcW w:w="1656" w:type="dxa"/>
            <w:tcMar>
              <w:top w:w="40" w:type="dxa"/>
              <w:left w:w="50" w:type="dxa"/>
              <w:bottom w:w="40" w:type="dxa"/>
              <w:right w:w="50" w:type="dxa"/>
            </w:tcMar>
            <w:vAlign w:val="center"/>
          </w:tcPr>
          <w:p ns1:paraId="6E8E8926">
            <w:pPr>
              <w:spacing w:before="0" w:after="0" w:line="240" w:lineRule="auto"/>
              <w:jc w:val="center"/>
            </w:pPr>
            <w:r>
              <w:rPr>
                <w:rFonts w:ascii="Noto Serif CJK SC" w:hAnsi="Noto Serif CJK SC" w:eastAsia="Noto Serif CJK SC"/>
                <w:b w:val="0"/>
                <w:sz w:val="16"/>
              </w:rPr>
              <w:t>83.83</w:t>
            </w:r>
          </w:p>
        </w:tc>
        <w:tc>
          <w:tcPr>
            <w:tcW w:w="4392" w:type="dxa"/>
            <w:tcMar>
              <w:top w:w="40" w:type="dxa"/>
              <w:left w:w="50" w:type="dxa"/>
              <w:bottom w:w="40" w:type="dxa"/>
              <w:right w:w="50" w:type="dxa"/>
            </w:tcMar>
            <w:vAlign w:val="center"/>
          </w:tcPr>
          <w:p ns1:paraId="471A8A1E">
            <w:pPr>
              <w:spacing w:before="0" w:after="0" w:line="240" w:lineRule="auto"/>
              <w:jc w:val="center"/>
            </w:pPr>
            <w:r>
              <w:rPr>
                <w:rFonts w:ascii="Noto Serif CJK SC" w:hAnsi="Noto Serif CJK SC" w:eastAsia="Noto Serif CJK SC"/>
                <w:b w:val="0"/>
                <w:sz w:val="16"/>
              </w:rPr>
              <w:t>项目识别、财承/VFM、实施方案等前端治理表达覆盖较高</w:t>
            </w:r>
          </w:p>
        </w:tc>
      </w:tr>
      <w:tr ns1:paraId="1556A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40" w:type="dxa"/>
              <w:left w:w="50" w:type="dxa"/>
              <w:bottom w:w="40" w:type="dxa"/>
              <w:right w:w="50" w:type="dxa"/>
            </w:tcMar>
            <w:vAlign w:val="center"/>
          </w:tcPr>
          <w:p ns1:paraId="6BB37778">
            <w:pPr>
              <w:spacing w:before="0" w:after="0" w:line="240" w:lineRule="auto"/>
              <w:jc w:val="center"/>
            </w:pPr>
            <w:r>
              <w:rPr>
                <w:rFonts w:ascii="Noto Serif CJK SC" w:hAnsi="Noto Serif CJK SC" w:eastAsia="Noto Serif CJK SC"/>
                <w:b w:val="0"/>
                <w:sz w:val="16"/>
              </w:rPr>
              <w:t>C（采购—执行治理）</w:t>
            </w:r>
          </w:p>
        </w:tc>
        <w:tc>
          <w:tcPr>
            <w:tcW w:w="1800" w:type="dxa"/>
            <w:tcMar>
              <w:top w:w="40" w:type="dxa"/>
              <w:left w:w="50" w:type="dxa"/>
              <w:bottom w:w="40" w:type="dxa"/>
              <w:right w:w="50" w:type="dxa"/>
            </w:tcMar>
            <w:vAlign w:val="center"/>
          </w:tcPr>
          <w:p ns1:paraId="346EB7E5">
            <w:pPr>
              <w:spacing w:before="0" w:after="0" w:line="240" w:lineRule="auto"/>
              <w:jc w:val="center"/>
            </w:pPr>
            <w:r>
              <w:rPr>
                <w:rFonts w:ascii="Noto Serif CJK SC" w:hAnsi="Noto Serif CJK SC" w:eastAsia="Noto Serif CJK SC"/>
                <w:b w:val="0"/>
                <w:sz w:val="16"/>
              </w:rPr>
              <w:t>1407</w:t>
            </w:r>
          </w:p>
        </w:tc>
        <w:tc>
          <w:tcPr>
            <w:tcW w:w="1656" w:type="dxa"/>
            <w:tcMar>
              <w:top w:w="40" w:type="dxa"/>
              <w:left w:w="50" w:type="dxa"/>
              <w:bottom w:w="40" w:type="dxa"/>
              <w:right w:w="50" w:type="dxa"/>
            </w:tcMar>
            <w:vAlign w:val="center"/>
          </w:tcPr>
          <w:p ns1:paraId="263BF052">
            <w:pPr>
              <w:spacing w:before="0" w:after="0" w:line="240" w:lineRule="auto"/>
              <w:jc w:val="center"/>
            </w:pPr>
            <w:r>
              <w:rPr>
                <w:rFonts w:ascii="Noto Serif CJK SC" w:hAnsi="Noto Serif CJK SC" w:eastAsia="Noto Serif CJK SC"/>
                <w:b w:val="0"/>
                <w:sz w:val="16"/>
              </w:rPr>
              <w:t>95.58</w:t>
            </w:r>
          </w:p>
        </w:tc>
        <w:tc>
          <w:tcPr>
            <w:tcW w:w="4392" w:type="dxa"/>
            <w:tcMar>
              <w:top w:w="40" w:type="dxa"/>
              <w:left w:w="50" w:type="dxa"/>
              <w:bottom w:w="40" w:type="dxa"/>
              <w:right w:w="50" w:type="dxa"/>
            </w:tcMar>
            <w:vAlign w:val="center"/>
          </w:tcPr>
          <w:p ns1:paraId="599B2AAE">
            <w:pPr>
              <w:spacing w:before="0" w:after="0" w:line="240" w:lineRule="auto"/>
              <w:jc w:val="center"/>
            </w:pPr>
            <w:r>
              <w:rPr>
                <w:rFonts w:ascii="Noto Serif CJK SC" w:hAnsi="Noto Serif CJK SC" w:eastAsia="Noto Serif CJK SC"/>
                <w:b w:val="0"/>
                <w:sz w:val="16"/>
              </w:rPr>
              <w:t>采购、合同、执行、运营、绩效等内容几乎覆盖全部语料</w:t>
            </w:r>
          </w:p>
        </w:tc>
      </w:tr>
      <w:tr ns1:paraId="0A3F9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44" w:type="dxa"/>
            <w:tcMar>
              <w:top w:w="40" w:type="dxa"/>
              <w:left w:w="50" w:type="dxa"/>
              <w:bottom w:w="40" w:type="dxa"/>
              <w:right w:w="50" w:type="dxa"/>
            </w:tcMar>
            <w:vAlign w:val="center"/>
          </w:tcPr>
          <w:p ns1:paraId="2F238926">
            <w:pPr>
              <w:spacing w:before="0" w:after="0" w:line="240" w:lineRule="auto"/>
              <w:jc w:val="center"/>
            </w:pPr>
            <w:r>
              <w:rPr>
                <w:rFonts w:ascii="Noto Serif CJK SC" w:hAnsi="Noto Serif CJK SC" w:eastAsia="Noto Serif CJK SC"/>
                <w:b w:val="0"/>
                <w:sz w:val="16"/>
              </w:rPr>
              <w:t>D（风险治理）</w:t>
            </w:r>
          </w:p>
        </w:tc>
        <w:tc>
          <w:tcPr>
            <w:tcW w:w="1800" w:type="dxa"/>
            <w:tcMar>
              <w:top w:w="40" w:type="dxa"/>
              <w:left w:w="50" w:type="dxa"/>
              <w:bottom w:w="40" w:type="dxa"/>
              <w:right w:w="50" w:type="dxa"/>
            </w:tcMar>
            <w:vAlign w:val="center"/>
          </w:tcPr>
          <w:p ns1:paraId="14FBC3EF">
            <w:pPr>
              <w:spacing w:before="0" w:after="0" w:line="240" w:lineRule="auto"/>
              <w:jc w:val="center"/>
            </w:pPr>
            <w:r>
              <w:rPr>
                <w:rFonts w:ascii="Noto Serif CJK SC" w:hAnsi="Noto Serif CJK SC" w:eastAsia="Noto Serif CJK SC"/>
                <w:b w:val="0"/>
                <w:sz w:val="16"/>
              </w:rPr>
              <w:t>1134</w:t>
            </w:r>
          </w:p>
        </w:tc>
        <w:tc>
          <w:tcPr>
            <w:tcW w:w="1656" w:type="dxa"/>
            <w:tcMar>
              <w:top w:w="40" w:type="dxa"/>
              <w:left w:w="50" w:type="dxa"/>
              <w:bottom w:w="40" w:type="dxa"/>
              <w:right w:w="50" w:type="dxa"/>
            </w:tcMar>
            <w:vAlign w:val="center"/>
          </w:tcPr>
          <w:p ns1:paraId="63EF671E">
            <w:pPr>
              <w:spacing w:before="0" w:after="0" w:line="240" w:lineRule="auto"/>
              <w:jc w:val="center"/>
            </w:pPr>
            <w:r>
              <w:rPr>
                <w:rFonts w:ascii="Noto Serif CJK SC" w:hAnsi="Noto Serif CJK SC" w:eastAsia="Noto Serif CJK SC"/>
                <w:b w:val="0"/>
                <w:sz w:val="16"/>
              </w:rPr>
              <w:t>77.04</w:t>
            </w:r>
          </w:p>
        </w:tc>
        <w:tc>
          <w:tcPr>
            <w:tcW w:w="4392" w:type="dxa"/>
            <w:tcMar>
              <w:top w:w="40" w:type="dxa"/>
              <w:left w:w="50" w:type="dxa"/>
              <w:bottom w:w="40" w:type="dxa"/>
              <w:right w:w="50" w:type="dxa"/>
            </w:tcMar>
            <w:vAlign w:val="center"/>
          </w:tcPr>
          <w:p ns1:paraId="19B55043">
            <w:pPr>
              <w:spacing w:before="0" w:after="0" w:line="240" w:lineRule="auto"/>
              <w:jc w:val="center"/>
            </w:pPr>
            <w:r>
              <w:rPr>
                <w:rFonts w:ascii="Noto Serif CJK SC" w:hAnsi="Noto Serif CJK SC" w:eastAsia="Noto Serif CJK SC"/>
                <w:b w:val="0"/>
                <w:sz w:val="16"/>
              </w:rPr>
              <w:t>财政约束、终止退出、监督整改等风险治理表达具有较高覆盖度</w:t>
            </w:r>
          </w:p>
        </w:tc>
      </w:tr>
    </w:tbl>
    <w:p>
      <w:pPr>
        <w:jc w:val="both"/>
        <w:spacing w:before="0" w:after="0" w:line="420" w:lineRule="auto"/>
        <w:ind w:firstLine="420"/>
      </w:pPr>
      <w:r>
        <w:rPr>
          <w:rFonts w:ascii="Times New Roman" w:hAnsi="Times New Roman" w:eastAsia="宋体"/>
          <w:sz w:val="24"/>
          <w:szCs w:val="24"/>
        </w:rP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p>
      <w:pPr>
        <w:jc w:val="left"/>
        <w:spacing w:before="120" w:after="60" w:line="420" w:lineRule="auto"/>
      </w:pPr>
      <w:r>
        <w:rPr>
          <w:rFonts w:ascii="Times New Roman" w:hAnsi="Times New Roman" w:eastAsia="宋体"/>
          <w:b/>
          <w:sz w:val="28"/>
          <w:szCs w:val="28"/>
        </w:rPr>
        <w:t>4.2 文本分析与变量落地</w:t>
      </w:r>
    </w:p>
    <w:p>
      <w:pPr>
        <w:jc w:val="both"/>
        <w:spacing w:before="0" w:after="0" w:line="420" w:lineRule="auto"/>
        <w:ind w:firstLine="420"/>
      </w:pPr>
      <w:r>
        <w:rPr>
          <w:rFonts w:ascii="Times New Roman" w:hAnsi="Times New Roman" w:eastAsia="宋体"/>
          <w:sz w:val="24"/>
          <w:szCs w:val="24"/>
        </w:rP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w:pPr>
        <w:jc w:val="both"/>
        <w:spacing w:before="0" w:after="0" w:line="420" w:lineRule="auto"/>
        <w:ind w:firstLine="420"/>
      </w:pPr>
      <w:r>
        <w:rPr>
          <w:rFonts w:ascii="Times New Roman" w:hAnsi="Times New Roman" w:eastAsia="宋体"/>
          <w:sz w:val="24"/>
          <w:szCs w:val="24"/>
        </w:rP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w:pPr>
        <w:jc w:val="both"/>
        <w:spacing w:before="0" w:after="0" w:line="420" w:lineRule="auto"/>
        <w:ind w:firstLine="420"/>
      </w:pPr>
      <w:r>
        <w:rPr>
          <w:rFonts w:ascii="Times New Roman" w:hAnsi="Times New Roman" w:eastAsia="宋体"/>
          <w:sz w:val="24"/>
          <w:szCs w:val="24"/>
        </w:rP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w:pPr>
        <w:jc w:val="center"/>
        <w:spacing w:before="60" w:after="60" w:line="360" w:lineRule="auto"/>
      </w:pPr>
      <w:r>
        <w:drawing>
          <wp:inline distT="0" distB="0" distL="0" distR="0">
            <wp:extent cx="5669280" cy="3881969"/>
            <wp:docPr id="1" name="image1.png"/>
            <wp:cNvGraphicFramePr>
              <a:graphicFrameLocks noChangeAspect="1"/>
            </wp:cNvGraphicFramePr>
            <a:graphic>
              <a:graphicData uri="http://schemas.openxmlformats.org/drawingml/2006/picture">
                <pic:pic>
                  <pic:nvPicPr>
                    <pic:cNvPr id="0" name="image1.png"/>
                    <pic:cNvPicPr/>
                  </pic:nvPicPr>
                  <pic:blipFill>
                    <a:blip r:embed="rId2"/>
                    <a:stretch>
                      <a:fillRect/>
                    </a:stretch>
                  </pic:blipFill>
                  <pic:spPr>
                    <a:xfrm>
                      <a:off x="0" y="0"/>
                      <a:ext cx="5669280" cy="3881969"/>
                    </a:xfrm>
                    <a:prstGeom prst="rect">
                      <a:avLst/>
                    </a:prstGeom>
                  </pic:spPr>
                </pic:pic>
              </a:graphicData>
            </a:graphic>
          </wp:inline>
        </w:drawing>
      </w:r>
    </w:p>
    <w:p>
      <w:pPr>
        <w:jc w:val="center"/>
        <w:spacing w:before="0" w:after="0" w:line="420" w:lineRule="auto"/>
      </w:pPr>
      <w:r>
        <w:rPr>
          <w:rFonts w:ascii="Times New Roman" w:hAnsi="Times New Roman" w:eastAsia="宋体"/>
          <w:sz w:val="22"/>
          <w:szCs w:val="22"/>
        </w:rPr>
        <w:t>图1 政策文本构造与治理能力测度总览</w:t>
      </w:r>
    </w:p>
    <w:p>
      <w:pPr>
        <w:jc w:val="center"/>
        <w:spacing w:before="0" w:after="0" w:line="420" w:lineRule="auto"/>
      </w:pPr>
      <w:r>
        <w:rPr>
          <w:rFonts w:ascii="Times New Roman" w:hAnsi="Times New Roman" w:eastAsia="宋体"/>
          <w:sz w:val="22"/>
          <w:szCs w:val="22"/>
        </w:rPr>
        <w:t>表2 政策文本分析框架、主题映射与变量落地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3"/>
        <w:gridCol w:w="3553"/>
        <w:gridCol w:w="3553"/>
      </w:tblGrid>
      <w:tr ns1:paraId="2C87D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15309D53">
            <w:pPr>
              <w:spacing w:before="0" w:after="0" w:line="240" w:lineRule="auto"/>
              <w:jc w:val="center"/>
            </w:pPr>
            <w:r>
              <w:rPr>
                <w:rFonts w:ascii="Noto Serif CJK SC" w:hAnsi="Noto Serif CJK SC" w:eastAsia="Noto Serif CJK SC"/>
                <w:b/>
                <w:sz w:val="16"/>
              </w:rPr>
              <w:t>样本层级/窗口</w:t>
            </w:r>
          </w:p>
        </w:tc>
        <w:tc>
          <w:tcPr>
            <w:tcW w:w="1152" w:type="dxa"/>
            <w:tcMar>
              <w:top w:w="40" w:type="dxa"/>
              <w:left w:w="50" w:type="dxa"/>
              <w:bottom w:w="40" w:type="dxa"/>
              <w:right w:w="50" w:type="dxa"/>
            </w:tcMar>
            <w:vAlign w:val="center"/>
          </w:tcPr>
          <w:p ns1:paraId="18049C48">
            <w:pPr>
              <w:spacing w:before="0" w:after="0" w:line="240" w:lineRule="auto"/>
              <w:jc w:val="center"/>
            </w:pPr>
            <w:r>
              <w:rPr>
                <w:rFonts w:ascii="Noto Serif CJK SC" w:hAnsi="Noto Serif CJK SC" w:eastAsia="Noto Serif CJK SC"/>
                <w:b/>
                <w:sz w:val="16"/>
              </w:rPr>
              <w:t>样本量</w:t>
            </w:r>
          </w:p>
        </w:tc>
        <w:tc>
          <w:tcPr>
            <w:tcW w:w="6192" w:type="dxa"/>
            <w:tcMar>
              <w:top w:w="40" w:type="dxa"/>
              <w:left w:w="50" w:type="dxa"/>
              <w:bottom w:w="40" w:type="dxa"/>
              <w:right w:w="50" w:type="dxa"/>
            </w:tcMar>
            <w:vAlign w:val="center"/>
          </w:tcPr>
          <w:p ns1:paraId="21302589">
            <w:pPr>
              <w:spacing w:before="0" w:after="0" w:line="240" w:lineRule="auto"/>
              <w:jc w:val="center"/>
            </w:pPr>
            <w:r>
              <w:rPr>
                <w:rFonts w:ascii="Noto Serif CJK SC" w:hAnsi="Noto Serif CJK SC" w:eastAsia="Noto Serif CJK SC"/>
                <w:b/>
                <w:sz w:val="16"/>
              </w:rPr>
              <w:t>说明</w:t>
            </w:r>
          </w:p>
        </w:tc>
      </w:tr>
      <w:tr ns1:paraId="3E935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1F4226EB">
            <w:pPr>
              <w:spacing w:before="0" w:after="0" w:line="240" w:lineRule="auto"/>
              <w:jc w:val="center"/>
            </w:pPr>
            <w:r>
              <w:rPr>
                <w:rFonts w:ascii="Noto Serif CJK SC" w:hAnsi="Noto Serif CJK SC" w:eastAsia="Noto Serif CJK SC"/>
                <w:b w:val="0"/>
                <w:sz w:val="16"/>
              </w:rPr>
              <w:t>全量政策文本语料</w:t>
            </w:r>
          </w:p>
        </w:tc>
        <w:tc>
          <w:tcPr>
            <w:tcW w:w="1152" w:type="dxa"/>
            <w:tcMar>
              <w:top w:w="40" w:type="dxa"/>
              <w:left w:w="50" w:type="dxa"/>
              <w:bottom w:w="40" w:type="dxa"/>
              <w:right w:w="50" w:type="dxa"/>
            </w:tcMar>
            <w:vAlign w:val="center"/>
          </w:tcPr>
          <w:p ns1:paraId="77DE944B">
            <w:pPr>
              <w:spacing w:before="0" w:after="0" w:line="240" w:lineRule="auto"/>
              <w:jc w:val="center"/>
            </w:pPr>
            <w:r>
              <w:rPr>
                <w:rFonts w:ascii="Noto Serif CJK SC" w:hAnsi="Noto Serif CJK SC" w:eastAsia="Noto Serif CJK SC"/>
                <w:b w:val="0"/>
                <w:sz w:val="16"/>
              </w:rPr>
              <w:t>1472</w:t>
            </w:r>
          </w:p>
        </w:tc>
        <w:tc>
          <w:tcPr>
            <w:tcW w:w="6192" w:type="dxa"/>
            <w:tcMar>
              <w:top w:w="40" w:type="dxa"/>
              <w:left w:w="50" w:type="dxa"/>
              <w:bottom w:w="40" w:type="dxa"/>
              <w:right w:w="50" w:type="dxa"/>
            </w:tcMar>
            <w:vAlign w:val="center"/>
          </w:tcPr>
          <w:p ns1:paraId="597EE543">
            <w:pPr>
              <w:spacing w:before="0" w:after="0" w:line="240" w:lineRule="auto"/>
              <w:jc w:val="center"/>
            </w:pPr>
            <w:r>
              <w:rPr>
                <w:rFonts w:ascii="Noto Serif CJK SC" w:hAnsi="Noto Serif CJK SC" w:eastAsia="Noto Serif CJK SC"/>
                <w:b w:val="0"/>
                <w:sz w:val="16"/>
              </w:rPr>
              <w:t>2014—2025年全部政策文本，含无年份文本</w:t>
            </w:r>
          </w:p>
        </w:tc>
      </w:tr>
      <w:tr ns1:paraId="4879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4E5E379C">
            <w:pPr>
              <w:spacing w:before="0" w:after="0" w:line="240" w:lineRule="auto"/>
              <w:jc w:val="center"/>
            </w:pPr>
            <w:r>
              <w:rPr>
                <w:rFonts w:ascii="Noto Serif CJK SC" w:hAnsi="Noto Serif CJK SC" w:eastAsia="Noto Serif CJK SC"/>
                <w:b w:val="0"/>
                <w:sz w:val="16"/>
              </w:rPr>
              <w:t>中央政策文本</w:t>
            </w:r>
          </w:p>
        </w:tc>
        <w:tc>
          <w:tcPr>
            <w:tcW w:w="1152" w:type="dxa"/>
            <w:tcMar>
              <w:top w:w="40" w:type="dxa"/>
              <w:left w:w="50" w:type="dxa"/>
              <w:bottom w:w="40" w:type="dxa"/>
              <w:right w:w="50" w:type="dxa"/>
            </w:tcMar>
            <w:vAlign w:val="center"/>
          </w:tcPr>
          <w:p ns1:paraId="0A7B90C6">
            <w:pPr>
              <w:spacing w:before="0" w:after="0" w:line="240" w:lineRule="auto"/>
              <w:jc w:val="center"/>
            </w:pPr>
            <w:r>
              <w:rPr>
                <w:rFonts w:ascii="Noto Serif CJK SC" w:hAnsi="Noto Serif CJK SC" w:eastAsia="Noto Serif CJK SC"/>
                <w:b w:val="0"/>
                <w:sz w:val="16"/>
              </w:rPr>
              <w:t>105</w:t>
            </w:r>
          </w:p>
        </w:tc>
        <w:tc>
          <w:tcPr>
            <w:tcW w:w="6192" w:type="dxa"/>
            <w:tcMar>
              <w:top w:w="40" w:type="dxa"/>
              <w:left w:w="50" w:type="dxa"/>
              <w:bottom w:w="40" w:type="dxa"/>
              <w:right w:w="50" w:type="dxa"/>
            </w:tcMar>
            <w:vAlign w:val="center"/>
          </w:tcPr>
          <w:p ns1:paraId="37A95B6F">
            <w:pPr>
              <w:spacing w:before="0" w:after="0" w:line="240" w:lineRule="auto"/>
              <w:jc w:val="center"/>
            </w:pPr>
            <w:r>
              <w:rPr>
                <w:rFonts w:ascii="Noto Serif CJK SC" w:hAnsi="Noto Serif CJK SC" w:eastAsia="Noto Serif CJK SC"/>
                <w:b w:val="0"/>
                <w:sz w:val="16"/>
              </w:rPr>
              <w:t>全量语料中的中央层面政策文本</w:t>
            </w:r>
          </w:p>
        </w:tc>
      </w:tr>
      <w:tr ns1:paraId="160F0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60E50EE6">
            <w:pPr>
              <w:spacing w:before="0" w:after="0" w:line="240" w:lineRule="auto"/>
              <w:jc w:val="center"/>
            </w:pPr>
            <w:r>
              <w:rPr>
                <w:rFonts w:ascii="Noto Serif CJK SC" w:hAnsi="Noto Serif CJK SC" w:eastAsia="Noto Serif CJK SC"/>
                <w:b w:val="0"/>
                <w:sz w:val="16"/>
              </w:rPr>
              <w:t>地方政策文本</w:t>
            </w:r>
          </w:p>
        </w:tc>
        <w:tc>
          <w:tcPr>
            <w:tcW w:w="1152" w:type="dxa"/>
            <w:tcMar>
              <w:top w:w="40" w:type="dxa"/>
              <w:left w:w="50" w:type="dxa"/>
              <w:bottom w:w="40" w:type="dxa"/>
              <w:right w:w="50" w:type="dxa"/>
            </w:tcMar>
            <w:vAlign w:val="center"/>
          </w:tcPr>
          <w:p ns1:paraId="2D3774D2">
            <w:pPr>
              <w:spacing w:before="0" w:after="0" w:line="240" w:lineRule="auto"/>
              <w:jc w:val="center"/>
            </w:pPr>
            <w:r>
              <w:rPr>
                <w:rFonts w:ascii="Noto Serif CJK SC" w:hAnsi="Noto Serif CJK SC" w:eastAsia="Noto Serif CJK SC"/>
                <w:b w:val="0"/>
                <w:sz w:val="16"/>
              </w:rPr>
              <w:t>1367</w:t>
            </w:r>
          </w:p>
        </w:tc>
        <w:tc>
          <w:tcPr>
            <w:tcW w:w="6192" w:type="dxa"/>
            <w:tcMar>
              <w:top w:w="40" w:type="dxa"/>
              <w:left w:w="50" w:type="dxa"/>
              <w:bottom w:w="40" w:type="dxa"/>
              <w:right w:w="50" w:type="dxa"/>
            </w:tcMar>
            <w:vAlign w:val="center"/>
          </w:tcPr>
          <w:p ns1:paraId="512B8E39">
            <w:pPr>
              <w:spacing w:before="0" w:after="0" w:line="240" w:lineRule="auto"/>
              <w:jc w:val="center"/>
            </w:pPr>
            <w:r>
              <w:rPr>
                <w:rFonts w:ascii="Noto Serif CJK SC" w:hAnsi="Noto Serif CJK SC" w:eastAsia="Noto Serif CJK SC"/>
                <w:b w:val="0"/>
                <w:sz w:val="16"/>
              </w:rPr>
              <w:t>全量语料中的地方层面政策文本</w:t>
            </w:r>
          </w:p>
        </w:tc>
      </w:tr>
      <w:tr ns1:paraId="4CFB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1F72417B">
            <w:pPr>
              <w:spacing w:before="0" w:after="0" w:line="240" w:lineRule="auto"/>
              <w:jc w:val="center"/>
            </w:pPr>
            <w:r>
              <w:rPr>
                <w:rFonts w:ascii="Noto Serif CJK SC" w:hAnsi="Noto Serif CJK SC" w:eastAsia="Noto Serif CJK SC"/>
                <w:b w:val="0"/>
                <w:sz w:val="16"/>
              </w:rPr>
              <w:t>DID主识别窗口文档样本</w:t>
            </w:r>
          </w:p>
        </w:tc>
        <w:tc>
          <w:tcPr>
            <w:tcW w:w="1152" w:type="dxa"/>
            <w:tcMar>
              <w:top w:w="40" w:type="dxa"/>
              <w:left w:w="50" w:type="dxa"/>
              <w:bottom w:w="40" w:type="dxa"/>
              <w:right w:w="50" w:type="dxa"/>
            </w:tcMar>
            <w:vAlign w:val="center"/>
          </w:tcPr>
          <w:p ns1:paraId="0EC8FAC9">
            <w:pPr>
              <w:spacing w:before="0" w:after="0" w:line="240" w:lineRule="auto"/>
              <w:jc w:val="center"/>
            </w:pPr>
            <w:r>
              <w:rPr>
                <w:rFonts w:ascii="Noto Serif CJK SC" w:hAnsi="Noto Serif CJK SC" w:eastAsia="Noto Serif CJK SC"/>
                <w:b w:val="0"/>
                <w:sz w:val="16"/>
              </w:rPr>
              <w:t>1307</w:t>
            </w:r>
          </w:p>
        </w:tc>
        <w:tc>
          <w:tcPr>
            <w:tcW w:w="6192" w:type="dxa"/>
            <w:tcMar>
              <w:top w:w="40" w:type="dxa"/>
              <w:left w:w="50" w:type="dxa"/>
              <w:bottom w:w="40" w:type="dxa"/>
              <w:right w:w="50" w:type="dxa"/>
            </w:tcMar>
            <w:vAlign w:val="center"/>
          </w:tcPr>
          <w:p ns1:paraId="7E39D591">
            <w:pPr>
              <w:spacing w:before="0" w:after="0" w:line="240" w:lineRule="auto"/>
              <w:jc w:val="center"/>
            </w:pPr>
            <w:r>
              <w:rPr>
                <w:rFonts w:ascii="Noto Serif CJK SC" w:hAnsi="Noto Serif CJK SC" w:eastAsia="Noto Serif CJK SC"/>
                <w:b w:val="0"/>
                <w:sz w:val="16"/>
              </w:rPr>
              <w:t>2014—2022年地方样本文档级文本变量表</w:t>
            </w:r>
          </w:p>
        </w:tc>
      </w:tr>
      <w:tr ns1:paraId="1B7D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74A38BB6">
            <w:pPr>
              <w:spacing w:before="0" w:after="0" w:line="240" w:lineRule="auto"/>
              <w:jc w:val="center"/>
            </w:pPr>
            <w:r>
              <w:rPr>
                <w:rFonts w:ascii="Noto Serif CJK SC" w:hAnsi="Noto Serif CJK SC" w:eastAsia="Noto Serif CJK SC"/>
                <w:b w:val="0"/>
                <w:sz w:val="16"/>
              </w:rPr>
              <w:t>扩展与审计窗口样本</w:t>
            </w:r>
          </w:p>
        </w:tc>
        <w:tc>
          <w:tcPr>
            <w:tcW w:w="1152" w:type="dxa"/>
            <w:tcMar>
              <w:top w:w="40" w:type="dxa"/>
              <w:left w:w="50" w:type="dxa"/>
              <w:bottom w:w="40" w:type="dxa"/>
              <w:right w:w="50" w:type="dxa"/>
            </w:tcMar>
            <w:vAlign w:val="center"/>
          </w:tcPr>
          <w:p ns1:paraId="64BEC0B2">
            <w:pPr>
              <w:spacing w:before="0" w:after="0" w:line="240" w:lineRule="auto"/>
              <w:jc w:val="center"/>
            </w:pPr>
            <w:r>
              <w:rPr>
                <w:rFonts w:ascii="Noto Serif CJK SC" w:hAnsi="Noto Serif CJK SC" w:eastAsia="Noto Serif CJK SC"/>
                <w:b w:val="0"/>
                <w:sz w:val="16"/>
              </w:rPr>
              <w:t>165</w:t>
            </w:r>
          </w:p>
        </w:tc>
        <w:tc>
          <w:tcPr>
            <w:tcW w:w="6192" w:type="dxa"/>
            <w:tcMar>
              <w:top w:w="40" w:type="dxa"/>
              <w:left w:w="50" w:type="dxa"/>
              <w:bottom w:w="40" w:type="dxa"/>
              <w:right w:w="50" w:type="dxa"/>
            </w:tcMar>
            <w:vAlign w:val="center"/>
          </w:tcPr>
          <w:p ns1:paraId="3DA355F9">
            <w:pPr>
              <w:spacing w:before="0" w:after="0" w:line="240" w:lineRule="auto"/>
              <w:jc w:val="center"/>
            </w:pPr>
            <w:r>
              <w:rPr>
                <w:rFonts w:ascii="Noto Serif CJK SC" w:hAnsi="Noto Serif CJK SC" w:eastAsia="Noto Serif CJK SC"/>
                <w:b w:val="0"/>
                <w:sz w:val="16"/>
              </w:rPr>
              <w:t>2023—2025年文本、无年份文本及审计补充样本</w:t>
            </w:r>
          </w:p>
        </w:tc>
      </w:tr>
      <w:tr ns1:paraId="3D224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39980E97">
            <w:pPr>
              <w:spacing w:before="0" w:after="0" w:line="240" w:lineRule="auto"/>
              <w:jc w:val="center"/>
            </w:pPr>
            <w:r>
              <w:rPr>
                <w:rFonts w:ascii="Noto Serif CJK SC" w:hAnsi="Noto Serif CJK SC" w:eastAsia="Noto Serif CJK SC"/>
                <w:b w:val="0"/>
                <w:sz w:val="16"/>
              </w:rPr>
              <w:t>正式文本省—年口径</w:t>
            </w:r>
          </w:p>
        </w:tc>
        <w:tc>
          <w:tcPr>
            <w:tcW w:w="1152" w:type="dxa"/>
            <w:tcMar>
              <w:top w:w="40" w:type="dxa"/>
              <w:left w:w="50" w:type="dxa"/>
              <w:bottom w:w="40" w:type="dxa"/>
              <w:right w:w="50" w:type="dxa"/>
            </w:tcMar>
            <w:vAlign w:val="center"/>
          </w:tcPr>
          <w:p ns1:paraId="3C7A6EAE">
            <w:pPr>
              <w:spacing w:before="0" w:after="0" w:line="240" w:lineRule="auto"/>
              <w:jc w:val="center"/>
            </w:pPr>
            <w:r>
              <w:rPr>
                <w:rFonts w:ascii="Noto Serif CJK SC" w:hAnsi="Noto Serif CJK SC" w:eastAsia="Noto Serif CJK SC"/>
                <w:b w:val="0"/>
                <w:sz w:val="16"/>
              </w:rPr>
              <w:t>288</w:t>
            </w:r>
          </w:p>
        </w:tc>
        <w:tc>
          <w:tcPr>
            <w:tcW w:w="6192" w:type="dxa"/>
            <w:tcMar>
              <w:top w:w="40" w:type="dxa"/>
              <w:left w:w="50" w:type="dxa"/>
              <w:bottom w:w="40" w:type="dxa"/>
              <w:right w:w="50" w:type="dxa"/>
            </w:tcMar>
            <w:vAlign w:val="center"/>
          </w:tcPr>
          <w:p ns1:paraId="0F58851D">
            <w:pPr>
              <w:spacing w:before="0" w:after="0" w:line="240" w:lineRule="auto"/>
              <w:jc w:val="center"/>
            </w:pPr>
            <w:r>
              <w:rPr>
                <w:rFonts w:ascii="Noto Serif CJK SC" w:hAnsi="Noto Serif CJK SC" w:eastAsia="Noto Serif CJK SC"/>
                <w:b w:val="0"/>
                <w:sz w:val="16"/>
              </w:rPr>
              <w:t>文本变量聚合后的省—年单元</w:t>
            </w:r>
          </w:p>
        </w:tc>
      </w:tr>
      <w:tr ns1:paraId="15A00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1DF62B4D">
            <w:pPr>
              <w:spacing w:before="0" w:after="0" w:line="240" w:lineRule="auto"/>
              <w:jc w:val="center"/>
            </w:pPr>
            <w:r>
              <w:rPr>
                <w:rFonts w:ascii="Noto Serif CJK SC" w:hAnsi="Noto Serif CJK SC" w:eastAsia="Noto Serif CJK SC"/>
                <w:b w:val="0"/>
                <w:sz w:val="16"/>
              </w:rPr>
              <w:t>V3主面板</w:t>
            </w:r>
          </w:p>
        </w:tc>
        <w:tc>
          <w:tcPr>
            <w:tcW w:w="1152" w:type="dxa"/>
            <w:tcMar>
              <w:top w:w="40" w:type="dxa"/>
              <w:left w:w="50" w:type="dxa"/>
              <w:bottom w:w="40" w:type="dxa"/>
              <w:right w:w="50" w:type="dxa"/>
            </w:tcMar>
            <w:vAlign w:val="center"/>
          </w:tcPr>
          <w:p ns1:paraId="472998FF">
            <w:pPr>
              <w:spacing w:before="0" w:after="0" w:line="240" w:lineRule="auto"/>
              <w:jc w:val="center"/>
            </w:pPr>
            <w:r>
              <w:rPr>
                <w:rFonts w:ascii="Noto Serif CJK SC" w:hAnsi="Noto Serif CJK SC" w:eastAsia="Noto Serif CJK SC"/>
                <w:b w:val="0"/>
                <w:sz w:val="16"/>
              </w:rPr>
              <w:t>266</w:t>
            </w:r>
          </w:p>
        </w:tc>
        <w:tc>
          <w:tcPr>
            <w:tcW w:w="6192" w:type="dxa"/>
            <w:tcMar>
              <w:top w:w="40" w:type="dxa"/>
              <w:left w:w="50" w:type="dxa"/>
              <w:bottom w:w="40" w:type="dxa"/>
              <w:right w:w="50" w:type="dxa"/>
            </w:tcMar>
            <w:vAlign w:val="center"/>
          </w:tcPr>
          <w:p ns1:paraId="22DC19D7">
            <w:pPr>
              <w:spacing w:before="0" w:after="0" w:line="240" w:lineRule="auto"/>
              <w:jc w:val="center"/>
            </w:pPr>
            <w:r>
              <w:rPr>
                <w:rFonts w:ascii="Noto Serif CJK SC" w:hAnsi="Noto Serif CJK SC" w:eastAsia="Noto Serif CJK SC"/>
                <w:b w:val="0"/>
                <w:sz w:val="16"/>
              </w:rPr>
              <w:t>与处理变量、结果变量并表后的正式主面板</w:t>
            </w:r>
          </w:p>
        </w:tc>
      </w:tr>
      <w:tr ns1:paraId="14971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Mar>
              <w:top w:w="40" w:type="dxa"/>
              <w:left w:w="50" w:type="dxa"/>
              <w:bottom w:w="40" w:type="dxa"/>
              <w:right w:w="50" w:type="dxa"/>
            </w:tcMar>
            <w:vAlign w:val="center"/>
          </w:tcPr>
          <w:p ns1:paraId="78463BF0">
            <w:pPr>
              <w:spacing w:before="0" w:after="0" w:line="240" w:lineRule="auto"/>
              <w:jc w:val="center"/>
            </w:pPr>
            <w:r>
              <w:rPr>
                <w:rFonts w:ascii="Noto Serif CJK SC" w:hAnsi="Noto Serif CJK SC" w:eastAsia="Noto Serif CJK SC"/>
                <w:b w:val="0"/>
                <w:sz w:val="16"/>
              </w:rPr>
              <w:t>5.3正式估计样本</w:t>
            </w:r>
          </w:p>
        </w:tc>
        <w:tc>
          <w:tcPr>
            <w:tcW w:w="1152" w:type="dxa"/>
            <w:tcMar>
              <w:top w:w="40" w:type="dxa"/>
              <w:left w:w="50" w:type="dxa"/>
              <w:bottom w:w="40" w:type="dxa"/>
              <w:right w:w="50" w:type="dxa"/>
            </w:tcMar>
            <w:vAlign w:val="center"/>
          </w:tcPr>
          <w:p ns1:paraId="6C2033AF">
            <w:pPr>
              <w:spacing w:before="0" w:after="0" w:line="240" w:lineRule="auto"/>
              <w:jc w:val="center"/>
            </w:pPr>
            <w:r>
              <w:rPr>
                <w:rFonts w:ascii="Noto Serif CJK SC" w:hAnsi="Noto Serif CJK SC" w:eastAsia="Noto Serif CJK SC"/>
                <w:b w:val="0"/>
                <w:sz w:val="16"/>
              </w:rPr>
              <w:t>262</w:t>
            </w:r>
          </w:p>
        </w:tc>
        <w:tc>
          <w:tcPr>
            <w:tcW w:w="6192" w:type="dxa"/>
            <w:tcMar>
              <w:top w:w="40" w:type="dxa"/>
              <w:left w:w="50" w:type="dxa"/>
              <w:bottom w:w="40" w:type="dxa"/>
              <w:right w:w="50" w:type="dxa"/>
            </w:tcMar>
            <w:vAlign w:val="center"/>
          </w:tcPr>
          <w:p ns1:paraId="139040A6">
            <w:pPr>
              <w:spacing w:before="0" w:after="0" w:line="240" w:lineRule="auto"/>
              <w:jc w:val="center"/>
            </w:pPr>
            <w:r>
              <w:rPr>
                <w:rFonts w:ascii="Noto Serif CJK SC" w:hAnsi="Noto Serif CJK SC" w:eastAsia="Noto Serif CJK SC"/>
                <w:b w:val="0"/>
                <w:sz w:val="16"/>
              </w:rPr>
              <w:t>控制变量完整后的正式回归样本</w:t>
            </w:r>
          </w:p>
        </w:tc>
      </w:tr>
    </w:tbl>
    <w:p>
      <w:pPr>
        <w:jc w:val="both"/>
        <w:spacing w:before="0" w:after="0" w:line="420" w:lineRule="auto"/>
        <w:ind w:firstLine="420"/>
      </w:pPr>
      <w:r>
        <w:rPr>
          <w:rFonts w:ascii="Times New Roman" w:hAnsi="Times New Roman" w:eastAsia="宋体"/>
          <w:sz w:val="24"/>
          <w:szCs w:val="24"/>
        </w:rP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w:pPr>
        <w:jc w:val="left"/>
        <w:spacing w:before="120" w:after="60" w:line="420" w:lineRule="auto"/>
      </w:pPr>
      <w:r>
        <w:rPr>
          <w:rFonts w:ascii="Times New Roman" w:hAnsi="Times New Roman" w:eastAsia="宋体"/>
          <w:b/>
          <w:sz w:val="28"/>
          <w:szCs w:val="28"/>
        </w:rPr>
        <w:t>4.3 处理变量、结果变量与控制变量</w:t>
      </w:r>
    </w:p>
    <w:p>
      <w:pPr>
        <w:jc w:val="both"/>
        <w:spacing w:before="0" w:after="0" w:line="420" w:lineRule="auto"/>
        <w:ind w:firstLine="420"/>
      </w:pPr>
      <w:r>
        <w:rPr>
          <w:rFonts w:ascii="Times New Roman" w:hAnsi="Times New Roman" w:eastAsia="宋体"/>
          <w:sz w:val="24"/>
          <w:szCs w:val="24"/>
        </w:rPr>
        <w: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w:t>
      </w:r>
    </w:p>
    <w:p>
      <w:pPr>
        <w:jc w:val="both"/>
        <w:spacing w:before="0" w:after="0" w:line="420" w:lineRule="auto"/>
        <w:ind w:firstLine="420"/>
      </w:pPr>
      <w:r>
        <w:rPr>
          <w:rFonts w:ascii="Times New Roman" w:hAnsi="Times New Roman" w:eastAsia="宋体"/>
          <w:sz w:val="24"/>
          <w:szCs w:val="24"/>
        </w:rP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w:t>
      </w:r>
    </w:p>
    <w:p>
      <w:pPr>
        <w:jc w:val="both"/>
        <w:spacing w:before="0" w:after="0" w:line="420" w:lineRule="auto"/>
        <w:ind w:firstLine="420"/>
      </w:pPr>
      <w:r>
        <w:rPr>
          <w:rFonts w:ascii="Times New Roman" w:hAnsi="Times New Roman" w:eastAsia="宋体"/>
          <w:sz w:val="24"/>
          <w:szCs w:val="24"/>
        </w:rPr>
        <w: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w:pPr>
        <w:jc w:val="both"/>
        <w:spacing w:before="0" w:after="0" w:line="420" w:lineRule="auto"/>
        <w:ind w:firstLine="420"/>
      </w:pPr>
      <w:r>
        <w:rPr>
          <w:rFonts w:ascii="Times New Roman" w:hAnsi="Times New Roman" w:eastAsia="宋体"/>
          <w:sz w:val="24"/>
          <w:szCs w:val="24"/>
        </w:rP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w:pPr>
        <w:jc w:val="left"/>
        <w:spacing w:before="120" w:after="60" w:line="420" w:lineRule="auto"/>
      </w:pPr>
      <w:r>
        <w:rPr>
          <w:rFonts w:ascii="Times New Roman" w:hAnsi="Times New Roman" w:eastAsia="宋体"/>
          <w:b/>
          <w:sz w:val="28"/>
          <w:szCs w:val="28"/>
        </w:rPr>
        <w:t>4.4 计量模型与识别思路</w:t>
      </w:r>
    </w:p>
    <w:p>
      <w:pPr>
        <w:jc w:val="both"/>
        <w:spacing w:before="0" w:after="0" w:line="420" w:lineRule="auto"/>
        <w:ind w:firstLine="420"/>
      </w:pPr>
      <w:r>
        <w:rPr>
          <w:rFonts w:ascii="Times New Roman" w:hAnsi="Times New Roman" w:eastAsia="宋体"/>
          <w:sz w:val="24"/>
          <w:szCs w:val="24"/>
        </w:rPr>
        <w:t>本文的主识别模型是以treat_share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写作总控文档都明确将treat_share多期DID/TWFE设定为全文唯一主模型；二是这一模型与本文“改革冲击—治理过程变化—推进结构调整”的问题结构最为契合。</w:t>
      </w:r>
    </w:p>
    <w:p>
      <w:pPr>
        <w:jc w:val="both"/>
        <w:spacing w:before="0" w:after="0" w:line="420" w:lineRule="auto"/>
        <w:ind w:firstLine="420"/>
      </w:pPr>
      <w:r>
        <w:rPr>
          <w:rFonts w:ascii="Times New Roman" w:hAnsi="Times New Roman" w:eastAsia="宋体"/>
          <w:sz w:val="24"/>
          <w:szCs w:val="24"/>
        </w:rPr>
        <w:t>需要强调的是，本文对识别强度的处理是克制的。首先，本文并不把事件研究结果写成“平行趋势成立”的强证据，而仅将其用作动态路径和识别边界说明。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w:pPr>
        <w:jc w:val="both"/>
        <w:spacing w:before="0" w:after="0" w:line="420" w:lineRule="auto"/>
        <w:ind w:firstLine="420"/>
      </w:pPr>
      <w:r>
        <w:rPr>
          <w:rFonts w:ascii="Times New Roman" w:hAnsi="Times New Roman" w:eastAsia="宋体"/>
          <w:sz w:val="24"/>
          <w:szCs w:val="24"/>
        </w:rPr>
        <w: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多种规格下保持稳定”，扩展分析回答“文本与结构变量是否还能服务于项目级辅助识别”。这种分层安排，构成了后文实证分析的基本结构。</w:t>
      </w:r>
    </w:p>
    <w:p>
      <w:pPr>
        <w:jc w:val="left"/>
        <w:spacing w:before="180" w:after="60" w:line="420" w:lineRule="auto"/>
      </w:pPr>
      <w:r>
        <w:rPr>
          <w:rFonts w:ascii="Times New Roman" w:hAnsi="Times New Roman" w:eastAsia="宋体"/>
          <w:b/>
          <w:sz w:val="30"/>
          <w:szCs w:val="30"/>
        </w:rPr>
        <w:t>5 实证分析</w:t>
      </w:r>
    </w:p>
    <w:p>
      <w:pPr>
        <w:jc w:val="left"/>
        <w:spacing w:before="120" w:after="60" w:line="420" w:lineRule="auto"/>
      </w:pPr>
      <w:r>
        <w:rPr>
          <w:rFonts w:ascii="Times New Roman" w:hAnsi="Times New Roman" w:eastAsia="宋体"/>
          <w:b/>
          <w:sz w:val="28"/>
          <w:szCs w:val="28"/>
        </w:rPr>
        <w:t>5.1 描述性事实与治理过程背景</w:t>
      </w:r>
    </w:p>
    <w:p>
      <w:pPr>
        <w:jc w:val="both"/>
        <w:spacing w:before="0" w:after="0" w:line="420" w:lineRule="auto"/>
        <w:ind w:firstLine="420"/>
      </w:pPr>
      <w:r>
        <w:rPr>
          <w:rFonts w:ascii="Times New Roman" w:hAnsi="Times New Roman" w:eastAsia="宋体"/>
          <w:sz w:val="24"/>
          <w:szCs w:val="24"/>
        </w:rP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w:pPr>
        <w:jc w:val="both"/>
        <w:spacing w:before="0" w:after="0" w:line="420" w:lineRule="auto"/>
        <w:ind w:firstLine="420"/>
      </w:pPr>
      <w:r>
        <w:rPr>
          <w:rFonts w:ascii="Times New Roman" w:hAnsi="Times New Roman" w:eastAsia="宋体"/>
          <w:sz w:val="24"/>
          <w:szCs w:val="24"/>
        </w:rP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w:t>
      </w:r>
    </w:p>
    <w:p>
      <w:pPr>
        <w:jc w:val="center"/>
        <w:spacing w:before="60" w:after="60" w:line="360" w:lineRule="auto"/>
      </w:pPr>
      <w:r>
        <w:drawing>
          <wp:inline distT="0" distB="0" distL="0" distR="0">
            <wp:extent cx="5669280" cy="4771205"/>
            <wp:docPr id="2" name="image2.png"/>
            <wp:cNvGraphicFramePr>
              <a:graphicFrameLocks noChangeAspect="1"/>
            </wp:cNvGraphicFramePr>
            <a:graphic>
              <a:graphicData uri="http://schemas.openxmlformats.org/drawingml/2006/picture">
                <pic:pic>
                  <pic:nvPicPr>
                    <pic:cNvPr id="0" name="image2.png"/>
                    <pic:cNvPicPr/>
                  </pic:nvPicPr>
                  <pic:blipFill>
                    <a:blip r:embed="rId3"/>
                    <a:stretch>
                      <a:fillRect/>
                    </a:stretch>
                  </pic:blipFill>
                  <pic:spPr>
                    <a:xfrm>
                      <a:off x="0" y="0"/>
                      <a:ext cx="5669280" cy="4771205"/>
                    </a:xfrm>
                    <a:prstGeom prst="rect">
                      <a:avLst/>
                    </a:prstGeom>
                  </pic:spPr>
                </pic:pic>
              </a:graphicData>
            </a:graphic>
          </wp:inline>
        </w:drawing>
      </w:r>
    </w:p>
    <w:p>
      <w:pPr>
        <w:jc w:val="center"/>
        <w:spacing w:before="0" w:after="0" w:line="420" w:lineRule="auto"/>
      </w:pPr>
      <w:r>
        <w:rPr>
          <w:rFonts w:ascii="Times New Roman" w:hAnsi="Times New Roman" w:eastAsia="宋体"/>
          <w:sz w:val="22"/>
          <w:szCs w:val="22"/>
        </w:rPr>
        <w:t>图2 PPP项目推进状态空间与结构演变</w:t>
      </w:r>
    </w:p>
    <w:p>
      <w:pPr>
        <w:jc w:val="both"/>
        <w:spacing w:before="0" w:after="0" w:line="420" w:lineRule="auto"/>
        <w:ind w:firstLine="420"/>
      </w:pPr>
      <w:r>
        <w:rPr>
          <w:rFonts w:ascii="Times New Roman" w:hAnsi="Times New Roman" w:eastAsia="宋体"/>
          <w:sz w:val="24"/>
          <w:szCs w:val="24"/>
        </w:rP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w:pPr>
        <w:jc w:val="center"/>
        <w:spacing w:before="60" w:after="60" w:line="360" w:lineRule="auto"/>
      </w:pPr>
      <w:r>
        <w:drawing>
          <wp:inline distT="0" distB="0" distL="0" distR="0">
            <wp:extent cx="5669280" cy="3600336"/>
            <wp:docPr id="3" name="image3.png"/>
            <wp:cNvGraphicFramePr>
              <a:graphicFrameLocks noChangeAspect="1"/>
            </wp:cNvGraphicFramePr>
            <a:graphic>
              <a:graphicData uri="http://schemas.openxmlformats.org/drawingml/2006/picture">
                <pic:pic>
                  <pic:nvPicPr>
                    <pic:cNvPr id="0" name="image3.png"/>
                    <pic:cNvPicPr/>
                  </pic:nvPicPr>
                  <pic:blipFill>
                    <a:blip r:embed="rId4"/>
                    <a:stretch>
                      <a:fillRect/>
                    </a:stretch>
                  </pic:blipFill>
                  <pic:spPr>
                    <a:xfrm>
                      <a:off x="0" y="0"/>
                      <a:ext cx="5669280" cy="3600336"/>
                    </a:xfrm>
                    <a:prstGeom prst="rect">
                      <a:avLst/>
                    </a:prstGeom>
                  </pic:spPr>
                </pic:pic>
              </a:graphicData>
            </a:graphic>
          </wp:inline>
        </w:drawing>
      </w:r>
    </w:p>
    <w:p>
      <w:pPr>
        <w:jc w:val="center"/>
        <w:spacing w:before="0" w:after="0" w:line="420" w:lineRule="auto"/>
      </w:pPr>
      <w:r>
        <w:rPr>
          <w:rFonts w:ascii="Times New Roman" w:hAnsi="Times New Roman" w:eastAsia="宋体"/>
          <w:sz w:val="22"/>
          <w:szCs w:val="22"/>
        </w:rPr>
        <w:t>图3 处理组与对照组核心变量分布差异</w:t>
      </w:r>
    </w:p>
    <w:p>
      <w:pPr>
        <w:jc w:val="both"/>
        <w:spacing w:before="0" w:after="0" w:line="420" w:lineRule="auto"/>
        <w:ind w:firstLine="420"/>
      </w:pPr>
      <w:r>
        <w:rPr>
          <w:rFonts w:ascii="Times New Roman" w:hAnsi="Times New Roman" w:eastAsia="宋体"/>
          <w:sz w:val="24"/>
          <w:szCs w:val="24"/>
        </w:rP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w:pPr>
        <w:jc w:val="left"/>
        <w:spacing w:before="120" w:after="60" w:line="420" w:lineRule="auto"/>
      </w:pPr>
      <w:r>
        <w:rPr>
          <w:rFonts w:ascii="Times New Roman" w:hAnsi="Times New Roman" w:eastAsia="宋体"/>
          <w:b/>
          <w:sz w:val="28"/>
          <w:szCs w:val="28"/>
        </w:rPr>
        <w:t>5.2 基准结果</w:t>
      </w:r>
    </w:p>
    <w:p>
      <w:pPr>
        <w:jc w:val="both"/>
        <w:spacing w:before="0" w:after="0" w:line="420" w:lineRule="auto"/>
        <w:ind w:firstLine="420"/>
      </w:pPr>
      <w:r>
        <w:rPr>
          <w:rFonts w:ascii="Times New Roman" w:hAnsi="Times New Roman" w:eastAsia="宋体"/>
          <w:sz w:val="24"/>
          <w:szCs w:val="24"/>
        </w:rP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w:pPr>
        <w:jc w:val="both"/>
        <w:spacing w:before="0" w:after="0" w:line="420" w:lineRule="auto"/>
        <w:ind w:firstLine="420"/>
      </w:pPr>
      <w:r>
        <w:rPr>
          <w:rFonts w:ascii="Times New Roman" w:hAnsi="Times New Roman" w:eastAsia="宋体"/>
          <w:sz w:val="24"/>
          <w:szCs w:val="24"/>
        </w:rPr>
        <w: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w:pPr>
        <w:jc w:val="center"/>
        <w:spacing w:before="0" w:after="0" w:line="420" w:lineRule="auto"/>
      </w:pPr>
      <w:r>
        <w:rPr>
          <w:rFonts w:ascii="Times New Roman" w:hAnsi="Times New Roman" w:eastAsia="宋体"/>
          <w:sz w:val="22"/>
          <w:szCs w:val="22"/>
        </w:rPr>
        <w:t>表4 基准多期DID/TWFE结果</w:t>
      </w:r>
    </w:p>
    <w:tbl>
      <w:tblPr>
        <w:tblStyle w:val="33"/>
        <w:tblW w:w="10723"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24"/>
        <w:gridCol w:w="639"/>
        <w:gridCol w:w="1903"/>
        <w:gridCol w:w="3216"/>
        <w:gridCol w:w="3216"/>
        <w:gridCol w:w="1125"/>
      </w:tblGrid>
      <w:tr ns1: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45C5D85">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一级主题</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1E34FA5">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AE17722">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二级主题名称</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A83A86E">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操作性定义（简写）</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1:paraId="75FC5199">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典型触发词/短语（示例）</w:t>
            </w:r>
          </w:p>
        </w:tc>
        <w:tc>
          <w:tcPr>
            <w:tcW w:w="1125" w:type="dxa"/>
            <w:tcBorders>
              <w:top w:val="single" w:color="auto" w:sz="12" w:space="0"/>
              <w:left w:val="nil"/>
              <w:bottom w:val="nil"/>
              <w:right w:val="nil"/>
            </w:tcBorders>
            <w:noWrap w:val="0"/>
            <w:tcMar>
              <w:top w:w="40" w:type="dxa"/>
              <w:left w:w="50" w:type="dxa"/>
              <w:bottom w:w="40" w:type="dxa"/>
              <w:right w:w="50" w:type="dxa"/>
            </w:tcMar>
            <w:vAlign w:val="center"/>
          </w:tcPr>
          <w:p ns1:paraId="59BD6881">
            <w:pPr>
              <w:snapToGrid w:val="0"/>
              <w:spacing w:before="0" w:after="0" w:line="240" w:lineRule="auto"/>
              <w:ind w:left="0" w:leftChars="0" w:right="0" w:rightChars="0" w:firstLine="0" w:firstLineChars="0"/>
              <w:jc w:val="center"/>
              <w:rPr>
                <w:rFonts w:ascii="Noto Serif CJK SC" w:eastAsia="Noto Serif CJK SC"/>
                <w:b/>
                <w:sz w:val="15"/>
              </w:rPr>
            </w:pPr>
            <w:r>
              <w:rPr>
                <w:rFonts w:ascii="Noto Serif CJK SC" w:hAnsi="Noto Serif CJK SC" w:eastAsia="Noto Serif CJK SC"/>
                <w:b/>
                <w:sz w:val="15"/>
              </w:rPr>
              <w:t>后续变量映射</w:t>
            </w:r>
          </w:p>
        </w:tc>
      </w:tr>
      <w:tr ns1: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16215BE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55E38EC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588D68A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平台建设与在线办理</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005A375B">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PPP管理、审批、受理、流程办理的线上平台化表达</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1:paraId="593937D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平台、系统、在线办理、网上审批、一网通办</w:t>
            </w:r>
          </w:p>
        </w:tc>
        <w:tc>
          <w:tcPr>
            <w:tcW w:w="1125" w:type="dxa"/>
            <w:tcBorders>
              <w:top w:val="single" w:color="auto" w:sz="4" w:space="0"/>
              <w:left w:val="nil"/>
              <w:bottom w:val="nil"/>
              <w:right w:val="nil"/>
            </w:tcBorders>
            <w:noWrap w:val="0"/>
            <w:tcMar>
              <w:top w:w="40" w:type="dxa"/>
              <w:left w:w="50" w:type="dxa"/>
              <w:bottom w:w="40" w:type="dxa"/>
              <w:right w:w="50" w:type="dxa"/>
            </w:tcMar>
            <w:vAlign w:val="center"/>
          </w:tcPr>
          <w:p ns1:paraId="5F474AF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A1_idx / A_idx</w:t>
            </w:r>
          </w:p>
        </w:tc>
      </w:tr>
      <w:tr ns1: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14F47C6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w:t>
            </w:r>
          </w:p>
        </w:tc>
        <w:tc>
          <w:tcPr>
            <w:tcW w:w="0" w:type="auto"/>
            <w:tcBorders>
              <w:top w:val="nil"/>
              <w:left w:val="nil"/>
              <w:bottom w:val="nil"/>
              <w:right w:val="nil"/>
            </w:tcBorders>
            <w:noWrap w:val="0"/>
            <w:tcMar>
              <w:top w:w="40" w:type="dxa"/>
              <w:left w:w="50" w:type="dxa"/>
              <w:bottom w:w="40" w:type="dxa"/>
              <w:right w:w="50" w:type="dxa"/>
            </w:tcMar>
            <w:vAlign w:val="center"/>
          </w:tcPr>
          <w:p ns1:paraId="0385F30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A2</w:t>
            </w:r>
          </w:p>
        </w:tc>
        <w:tc>
          <w:tcPr>
            <w:tcW w:w="0" w:type="auto"/>
            <w:tcBorders>
              <w:top w:val="nil"/>
              <w:left w:val="nil"/>
              <w:bottom w:val="nil"/>
              <w:right w:val="nil"/>
            </w:tcBorders>
            <w:noWrap w:val="0"/>
            <w:tcMar>
              <w:top w:w="40" w:type="dxa"/>
              <w:left w:w="50" w:type="dxa"/>
              <w:bottom w:w="40" w:type="dxa"/>
              <w:right w:w="50" w:type="dxa"/>
            </w:tcMar>
            <w:vAlign w:val="center"/>
          </w:tcPr>
          <w:p ns1:paraId="2E913B1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数据共享与动态报送</w:t>
            </w:r>
          </w:p>
        </w:tc>
        <w:tc>
          <w:tcPr>
            <w:tcW w:w="0" w:type="auto"/>
            <w:tcBorders>
              <w:top w:val="nil"/>
              <w:left w:val="nil"/>
              <w:bottom w:val="nil"/>
              <w:right w:val="nil"/>
            </w:tcBorders>
            <w:noWrap w:val="0"/>
            <w:tcMar>
              <w:top w:w="40" w:type="dxa"/>
              <w:left w:w="50" w:type="dxa"/>
              <w:bottom w:w="40" w:type="dxa"/>
              <w:right w:w="50" w:type="dxa"/>
            </w:tcMar>
            <w:vAlign w:val="center"/>
          </w:tcPr>
          <w:p ns1:paraId="606B9035">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跨部门数据共享、动态更新、监测台账、接口对接</w:t>
            </w:r>
          </w:p>
        </w:tc>
        <w:tc>
          <w:tcPr>
            <w:tcW w:w="0" w:type="auto"/>
            <w:tcBorders>
              <w:top w:val="nil"/>
              <w:left w:val="nil"/>
              <w:bottom w:val="nil"/>
              <w:right w:val="nil"/>
            </w:tcBorders>
            <w:noWrap w:val="0"/>
            <w:tcMar>
              <w:top w:w="40" w:type="dxa"/>
              <w:left w:w="50" w:type="dxa"/>
              <w:bottom w:w="40" w:type="dxa"/>
              <w:right w:w="50" w:type="dxa"/>
            </w:tcMar>
            <w:vAlign w:val="center"/>
          </w:tcPr>
          <w:p ns1:paraId="288DD95A">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数据共享、归集、动态报送、数据接口、互联互通</w:t>
            </w:r>
          </w:p>
        </w:tc>
        <w:tc>
          <w:tcPr>
            <w:tcW w:w="1125" w:type="dxa"/>
            <w:tcBorders>
              <w:top w:val="nil"/>
              <w:left w:val="nil"/>
              <w:bottom w:val="nil"/>
              <w:right w:val="nil"/>
            </w:tcBorders>
            <w:noWrap w:val="0"/>
            <w:tcMar>
              <w:top w:w="40" w:type="dxa"/>
              <w:left w:w="50" w:type="dxa"/>
              <w:bottom w:w="40" w:type="dxa"/>
              <w:right w:w="50" w:type="dxa"/>
            </w:tcMar>
            <w:vAlign w:val="center"/>
          </w:tcPr>
          <w:p ns1:paraId="746D468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A2_idx / A_idx</w:t>
            </w:r>
          </w:p>
        </w:tc>
      </w:tr>
      <w:tr ns1: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752F5ED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w:t>
            </w:r>
          </w:p>
        </w:tc>
        <w:tc>
          <w:tcPr>
            <w:tcW w:w="0" w:type="auto"/>
            <w:tcBorders>
              <w:top w:val="nil"/>
              <w:left w:val="nil"/>
              <w:bottom w:val="nil"/>
              <w:right w:val="nil"/>
            </w:tcBorders>
            <w:noWrap w:val="0"/>
            <w:tcMar>
              <w:top w:w="40" w:type="dxa"/>
              <w:left w:w="50" w:type="dxa"/>
              <w:bottom w:w="40" w:type="dxa"/>
              <w:right w:w="50" w:type="dxa"/>
            </w:tcMar>
            <w:vAlign w:val="center"/>
          </w:tcPr>
          <w:p ns1:paraId="62B2567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A3</w:t>
            </w:r>
          </w:p>
        </w:tc>
        <w:tc>
          <w:tcPr>
            <w:tcW w:w="0" w:type="auto"/>
            <w:tcBorders>
              <w:top w:val="nil"/>
              <w:left w:val="nil"/>
              <w:bottom w:val="nil"/>
              <w:right w:val="nil"/>
            </w:tcBorders>
            <w:noWrap w:val="0"/>
            <w:tcMar>
              <w:top w:w="40" w:type="dxa"/>
              <w:left w:w="50" w:type="dxa"/>
              <w:bottom w:w="40" w:type="dxa"/>
              <w:right w:w="50" w:type="dxa"/>
            </w:tcMar>
            <w:vAlign w:val="center"/>
          </w:tcPr>
          <w:p ns1:paraId="0D01FD61">
            <w:pPr>
              <w:snapToGrid w:val="0"/>
              <w:spacing w:before="0" w:after="0" w:line="240" w:lineRule="auto"/>
              <w:ind w:left="0" w:leftChars="0" w:right="0" w:rightChars="0" w:firstLine="0" w:firstLineChars="0"/>
              <w:jc w:val="center"/>
              <w:rPr>
                <w:rFonts w:ascii="Noto Serif CJK SC" w:eastAsia="Noto Serif CJK SC"/>
                <w:sz w:val="15"/>
              </w:rPr>
            </w:pPr>
            <w:bookmarkStart w:id="0" w:name="_GoBack"/>
            <w:r>
              <w:rPr>
                <w:rFonts w:ascii="Noto Serif CJK SC" w:hAnsi="Noto Serif CJK SC" w:eastAsia="Noto Serif CJK SC"/>
                <w:b w:val="0"/>
                <w:sz w:val="15"/>
              </w:rPr>
              <w:t>信息公开与透明协同</w:t>
            </w:r>
            <w:bookmarkEnd w:id="0"/>
          </w:p>
        </w:tc>
        <w:tc>
          <w:tcPr>
            <w:tcW w:w="0" w:type="auto"/>
            <w:tcBorders>
              <w:top w:val="nil"/>
              <w:left w:val="nil"/>
              <w:bottom w:val="nil"/>
              <w:right w:val="nil"/>
            </w:tcBorders>
            <w:noWrap w:val="0"/>
            <w:tcMar>
              <w:top w:w="40" w:type="dxa"/>
              <w:left w:w="50" w:type="dxa"/>
              <w:bottom w:w="40" w:type="dxa"/>
              <w:right w:w="50" w:type="dxa"/>
            </w:tcMar>
            <w:vAlign w:val="center"/>
          </w:tcPr>
          <w:p ns1:paraId="102BC89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项目公示、披露、过程透明、社会监督便利性</w:t>
            </w:r>
          </w:p>
        </w:tc>
        <w:tc>
          <w:tcPr>
            <w:tcW w:w="0" w:type="auto"/>
            <w:tcBorders>
              <w:top w:val="nil"/>
              <w:left w:val="nil"/>
              <w:bottom w:val="nil"/>
              <w:right w:val="nil"/>
            </w:tcBorders>
            <w:noWrap w:val="0"/>
            <w:tcMar>
              <w:top w:w="40" w:type="dxa"/>
              <w:left w:w="50" w:type="dxa"/>
              <w:bottom w:w="40" w:type="dxa"/>
              <w:right w:w="50" w:type="dxa"/>
            </w:tcMar>
            <w:vAlign w:val="center"/>
          </w:tcPr>
          <w:p ns1:paraId="72726F2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信息公开、公示、披露、透明、公告、社会监督</w:t>
            </w:r>
          </w:p>
        </w:tc>
        <w:tc>
          <w:tcPr>
            <w:tcW w:w="1125" w:type="dxa"/>
            <w:tcBorders>
              <w:top w:val="nil"/>
              <w:left w:val="nil"/>
              <w:bottom w:val="nil"/>
              <w:right w:val="nil"/>
            </w:tcBorders>
            <w:noWrap w:val="0"/>
            <w:tcMar>
              <w:top w:w="40" w:type="dxa"/>
              <w:left w:w="50" w:type="dxa"/>
              <w:bottom w:w="40" w:type="dxa"/>
              <w:right w:w="50" w:type="dxa"/>
            </w:tcMar>
            <w:vAlign w:val="center"/>
          </w:tcPr>
          <w:p ns1:paraId="5F25CEF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A3_idx / A_idx</w:t>
            </w:r>
          </w:p>
        </w:tc>
      </w:tr>
      <w:tr ns1: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2CD84CE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w:t>
            </w:r>
          </w:p>
        </w:tc>
        <w:tc>
          <w:tcPr>
            <w:tcW w:w="0" w:type="auto"/>
            <w:tcBorders>
              <w:top w:val="nil"/>
              <w:left w:val="nil"/>
              <w:bottom w:val="nil"/>
              <w:right w:val="nil"/>
            </w:tcBorders>
            <w:noWrap w:val="0"/>
            <w:tcMar>
              <w:top w:w="40" w:type="dxa"/>
              <w:left w:w="50" w:type="dxa"/>
              <w:bottom w:w="40" w:type="dxa"/>
              <w:right w:w="50" w:type="dxa"/>
            </w:tcMar>
            <w:vAlign w:val="center"/>
          </w:tcPr>
          <w:p ns1:paraId="5FD79B8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B1</w:t>
            </w:r>
          </w:p>
        </w:tc>
        <w:tc>
          <w:tcPr>
            <w:tcW w:w="0" w:type="auto"/>
            <w:tcBorders>
              <w:top w:val="nil"/>
              <w:left w:val="nil"/>
              <w:bottom w:val="nil"/>
              <w:right w:val="nil"/>
            </w:tcBorders>
            <w:noWrap w:val="0"/>
            <w:tcMar>
              <w:top w:w="40" w:type="dxa"/>
              <w:left w:w="50" w:type="dxa"/>
              <w:bottom w:w="40" w:type="dxa"/>
              <w:right w:w="50" w:type="dxa"/>
            </w:tcMar>
            <w:vAlign w:val="center"/>
          </w:tcPr>
          <w:p ns1:paraId="48BBBA7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项目识别、筛选与入库</w:t>
            </w:r>
          </w:p>
        </w:tc>
        <w:tc>
          <w:tcPr>
            <w:tcW w:w="0" w:type="auto"/>
            <w:tcBorders>
              <w:top w:val="nil"/>
              <w:left w:val="nil"/>
              <w:bottom w:val="nil"/>
              <w:right w:val="nil"/>
            </w:tcBorders>
            <w:noWrap w:val="0"/>
            <w:tcMar>
              <w:top w:w="40" w:type="dxa"/>
              <w:left w:w="50" w:type="dxa"/>
              <w:bottom w:w="40" w:type="dxa"/>
              <w:right w:w="50" w:type="dxa"/>
            </w:tcMar>
            <w:vAlign w:val="center"/>
          </w:tcPr>
          <w:p ns1:paraId="1F5BFB76">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PPP项目识别、储备、筛选、遴选、入库管理</w:t>
            </w:r>
          </w:p>
        </w:tc>
        <w:tc>
          <w:tcPr>
            <w:tcW w:w="0" w:type="auto"/>
            <w:tcBorders>
              <w:top w:val="nil"/>
              <w:left w:val="nil"/>
              <w:bottom w:val="nil"/>
              <w:right w:val="nil"/>
            </w:tcBorders>
            <w:noWrap w:val="0"/>
            <w:tcMar>
              <w:top w:w="40" w:type="dxa"/>
              <w:left w:w="50" w:type="dxa"/>
              <w:bottom w:w="40" w:type="dxa"/>
              <w:right w:w="50" w:type="dxa"/>
            </w:tcMar>
            <w:vAlign w:val="center"/>
          </w:tcPr>
          <w:p ns1:paraId="20D083D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项目识别、项目储备库、入库、备选项目、适宜采用</w:t>
            </w:r>
          </w:p>
        </w:tc>
        <w:tc>
          <w:tcPr>
            <w:tcW w:w="1125" w:type="dxa"/>
            <w:tcBorders>
              <w:top w:val="nil"/>
              <w:left w:val="nil"/>
              <w:bottom w:val="nil"/>
              <w:right w:val="nil"/>
            </w:tcBorders>
            <w:noWrap w:val="0"/>
            <w:tcMar>
              <w:top w:w="40" w:type="dxa"/>
              <w:left w:w="50" w:type="dxa"/>
              <w:bottom w:w="40" w:type="dxa"/>
              <w:right w:w="50" w:type="dxa"/>
            </w:tcMar>
            <w:vAlign w:val="center"/>
          </w:tcPr>
          <w:p ns1:paraId="66A9FEC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B1_idx / B_idx</w:t>
            </w:r>
          </w:p>
        </w:tc>
      </w:tr>
      <w:tr ns1: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149D4C1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w:t>
            </w:r>
          </w:p>
        </w:tc>
        <w:tc>
          <w:tcPr>
            <w:tcW w:w="0" w:type="auto"/>
            <w:tcBorders>
              <w:top w:val="nil"/>
              <w:left w:val="nil"/>
              <w:bottom w:val="nil"/>
              <w:right w:val="nil"/>
            </w:tcBorders>
            <w:noWrap w:val="0"/>
            <w:tcMar>
              <w:top w:w="40" w:type="dxa"/>
              <w:left w:w="50" w:type="dxa"/>
              <w:bottom w:w="40" w:type="dxa"/>
              <w:right w:w="50" w:type="dxa"/>
            </w:tcMar>
            <w:vAlign w:val="center"/>
          </w:tcPr>
          <w:p ns1:paraId="5AB6DFA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B2</w:t>
            </w:r>
          </w:p>
        </w:tc>
        <w:tc>
          <w:tcPr>
            <w:tcW w:w="0" w:type="auto"/>
            <w:tcBorders>
              <w:top w:val="nil"/>
              <w:left w:val="nil"/>
              <w:bottom w:val="nil"/>
              <w:right w:val="nil"/>
            </w:tcBorders>
            <w:noWrap w:val="0"/>
            <w:tcMar>
              <w:top w:w="40" w:type="dxa"/>
              <w:left w:w="50" w:type="dxa"/>
              <w:bottom w:w="40" w:type="dxa"/>
              <w:right w:w="50" w:type="dxa"/>
            </w:tcMar>
            <w:vAlign w:val="center"/>
          </w:tcPr>
          <w:p ns1:paraId="5B1EC31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财政承受能力与物有所值论证</w:t>
            </w:r>
          </w:p>
        </w:tc>
        <w:tc>
          <w:tcPr>
            <w:tcW w:w="0" w:type="auto"/>
            <w:tcBorders>
              <w:top w:val="nil"/>
              <w:left w:val="nil"/>
              <w:bottom w:val="nil"/>
              <w:right w:val="nil"/>
            </w:tcBorders>
            <w:noWrap w:val="0"/>
            <w:tcMar>
              <w:top w:w="40" w:type="dxa"/>
              <w:left w:w="50" w:type="dxa"/>
              <w:bottom w:w="40" w:type="dxa"/>
              <w:right w:w="50" w:type="dxa"/>
            </w:tcMar>
            <w:vAlign w:val="center"/>
          </w:tcPr>
          <w:p ns1:paraId="13EB8D7F">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财承、VFM、支出责任、预算约束与财务测算</w:t>
            </w:r>
          </w:p>
        </w:tc>
        <w:tc>
          <w:tcPr>
            <w:tcW w:w="0" w:type="auto"/>
            <w:tcBorders>
              <w:top w:val="nil"/>
              <w:left w:val="nil"/>
              <w:bottom w:val="nil"/>
              <w:right w:val="nil"/>
            </w:tcBorders>
            <w:noWrap w:val="0"/>
            <w:tcMar>
              <w:top w:w="40" w:type="dxa"/>
              <w:left w:w="50" w:type="dxa"/>
              <w:bottom w:w="40" w:type="dxa"/>
              <w:right w:w="50" w:type="dxa"/>
            </w:tcMar>
            <w:vAlign w:val="center"/>
          </w:tcPr>
          <w:p ns1:paraId="5CB660B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财政承受能力、物有所值、VFM、支出责任、预算约束</w:t>
            </w:r>
          </w:p>
        </w:tc>
        <w:tc>
          <w:tcPr>
            <w:tcW w:w="1125" w:type="dxa"/>
            <w:tcBorders>
              <w:top w:val="nil"/>
              <w:left w:val="nil"/>
              <w:bottom w:val="nil"/>
              <w:right w:val="nil"/>
            </w:tcBorders>
            <w:noWrap w:val="0"/>
            <w:tcMar>
              <w:top w:w="40" w:type="dxa"/>
              <w:left w:w="50" w:type="dxa"/>
              <w:bottom w:w="40" w:type="dxa"/>
              <w:right w:w="50" w:type="dxa"/>
            </w:tcMar>
            <w:vAlign w:val="center"/>
          </w:tcPr>
          <w:p ns1:paraId="17C1902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B2_idx / B_idx</w:t>
            </w:r>
          </w:p>
        </w:tc>
      </w:tr>
      <w:tr ns1: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48A327A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w:t>
            </w:r>
          </w:p>
        </w:tc>
        <w:tc>
          <w:tcPr>
            <w:tcW w:w="0" w:type="auto"/>
            <w:tcBorders>
              <w:top w:val="nil"/>
              <w:left w:val="nil"/>
              <w:bottom w:val="nil"/>
              <w:right w:val="nil"/>
            </w:tcBorders>
            <w:noWrap w:val="0"/>
            <w:tcMar>
              <w:top w:w="40" w:type="dxa"/>
              <w:left w:w="50" w:type="dxa"/>
              <w:bottom w:w="40" w:type="dxa"/>
              <w:right w:w="50" w:type="dxa"/>
            </w:tcMar>
            <w:vAlign w:val="center"/>
          </w:tcPr>
          <w:p ns1:paraId="431BEAC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B3</w:t>
            </w:r>
          </w:p>
        </w:tc>
        <w:tc>
          <w:tcPr>
            <w:tcW w:w="0" w:type="auto"/>
            <w:tcBorders>
              <w:top w:val="nil"/>
              <w:left w:val="nil"/>
              <w:bottom w:val="nil"/>
              <w:right w:val="nil"/>
            </w:tcBorders>
            <w:noWrap w:val="0"/>
            <w:tcMar>
              <w:top w:w="40" w:type="dxa"/>
              <w:left w:w="50" w:type="dxa"/>
              <w:bottom w:w="40" w:type="dxa"/>
              <w:right w:w="50" w:type="dxa"/>
            </w:tcMar>
            <w:vAlign w:val="center"/>
          </w:tcPr>
          <w:p ns1:paraId="7974685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实施方案设计与审批程序</w:t>
            </w:r>
          </w:p>
        </w:tc>
        <w:tc>
          <w:tcPr>
            <w:tcW w:w="0" w:type="auto"/>
            <w:tcBorders>
              <w:top w:val="nil"/>
              <w:left w:val="nil"/>
              <w:bottom w:val="nil"/>
              <w:right w:val="nil"/>
            </w:tcBorders>
            <w:noWrap w:val="0"/>
            <w:tcMar>
              <w:top w:w="40" w:type="dxa"/>
              <w:left w:w="50" w:type="dxa"/>
              <w:bottom w:w="40" w:type="dxa"/>
              <w:right w:w="50" w:type="dxa"/>
            </w:tcMar>
            <w:vAlign w:val="center"/>
          </w:tcPr>
          <w:p ns1:paraId="0C2B0F5C">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实施方案编制、审议、批复、备案、联审联批</w:t>
            </w:r>
          </w:p>
        </w:tc>
        <w:tc>
          <w:tcPr>
            <w:tcW w:w="0" w:type="auto"/>
            <w:tcBorders>
              <w:top w:val="nil"/>
              <w:left w:val="nil"/>
              <w:bottom w:val="nil"/>
              <w:right w:val="nil"/>
            </w:tcBorders>
            <w:noWrap w:val="0"/>
            <w:tcMar>
              <w:top w:w="40" w:type="dxa"/>
              <w:left w:w="50" w:type="dxa"/>
              <w:bottom w:w="40" w:type="dxa"/>
              <w:right w:w="50" w:type="dxa"/>
            </w:tcMar>
            <w:vAlign w:val="center"/>
          </w:tcPr>
          <w:p ns1:paraId="4F24E25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实施方案、审批程序、审议、批复、备案、论证</w:t>
            </w:r>
          </w:p>
        </w:tc>
        <w:tc>
          <w:tcPr>
            <w:tcW w:w="1125" w:type="dxa"/>
            <w:tcBorders>
              <w:top w:val="nil"/>
              <w:left w:val="nil"/>
              <w:bottom w:val="nil"/>
              <w:right w:val="nil"/>
            </w:tcBorders>
            <w:noWrap w:val="0"/>
            <w:tcMar>
              <w:top w:w="40" w:type="dxa"/>
              <w:left w:w="50" w:type="dxa"/>
              <w:bottom w:w="40" w:type="dxa"/>
              <w:right w:w="50" w:type="dxa"/>
            </w:tcMar>
            <w:vAlign w:val="center"/>
          </w:tcPr>
          <w:p ns1:paraId="2700B7E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B3_idx / B_idx</w:t>
            </w:r>
          </w:p>
        </w:tc>
      </w:tr>
      <w:tr ns1: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53A4EAD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w:t>
            </w:r>
          </w:p>
        </w:tc>
        <w:tc>
          <w:tcPr>
            <w:tcW w:w="0" w:type="auto"/>
            <w:tcBorders>
              <w:top w:val="nil"/>
              <w:left w:val="nil"/>
              <w:bottom w:val="nil"/>
              <w:right w:val="nil"/>
            </w:tcBorders>
            <w:noWrap w:val="0"/>
            <w:tcMar>
              <w:top w:w="40" w:type="dxa"/>
              <w:left w:w="50" w:type="dxa"/>
              <w:bottom w:w="40" w:type="dxa"/>
              <w:right w:w="50" w:type="dxa"/>
            </w:tcMar>
            <w:vAlign w:val="center"/>
          </w:tcPr>
          <w:p ns1:paraId="4BF7E5E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C1</w:t>
            </w:r>
          </w:p>
        </w:tc>
        <w:tc>
          <w:tcPr>
            <w:tcW w:w="0" w:type="auto"/>
            <w:tcBorders>
              <w:top w:val="nil"/>
              <w:left w:val="nil"/>
              <w:bottom w:val="nil"/>
              <w:right w:val="nil"/>
            </w:tcBorders>
            <w:noWrap w:val="0"/>
            <w:tcMar>
              <w:top w:w="40" w:type="dxa"/>
              <w:left w:w="50" w:type="dxa"/>
              <w:bottom w:w="40" w:type="dxa"/>
              <w:right w:w="50" w:type="dxa"/>
            </w:tcMar>
            <w:vAlign w:val="center"/>
          </w:tcPr>
          <w:p ns1:paraId="2BB80A6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社会资本采购与竞争配置</w:t>
            </w:r>
          </w:p>
        </w:tc>
        <w:tc>
          <w:tcPr>
            <w:tcW w:w="0" w:type="auto"/>
            <w:tcBorders>
              <w:top w:val="nil"/>
              <w:left w:val="nil"/>
              <w:bottom w:val="nil"/>
              <w:right w:val="nil"/>
            </w:tcBorders>
            <w:noWrap w:val="0"/>
            <w:tcMar>
              <w:top w:w="40" w:type="dxa"/>
              <w:left w:w="50" w:type="dxa"/>
              <w:bottom w:w="40" w:type="dxa"/>
              <w:right w:w="50" w:type="dxa"/>
            </w:tcMar>
            <w:vAlign w:val="center"/>
          </w:tcPr>
          <w:p ns1:paraId="214A1645">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招标采购、资格预审、评标、中标与竞争配置</w:t>
            </w:r>
          </w:p>
        </w:tc>
        <w:tc>
          <w:tcPr>
            <w:tcW w:w="0" w:type="auto"/>
            <w:tcBorders>
              <w:top w:val="nil"/>
              <w:left w:val="nil"/>
              <w:bottom w:val="nil"/>
              <w:right w:val="nil"/>
            </w:tcBorders>
            <w:noWrap w:val="0"/>
            <w:tcMar>
              <w:top w:w="40" w:type="dxa"/>
              <w:left w:w="50" w:type="dxa"/>
              <w:bottom w:w="40" w:type="dxa"/>
              <w:right w:w="50" w:type="dxa"/>
            </w:tcMar>
            <w:vAlign w:val="center"/>
          </w:tcPr>
          <w:p ns1:paraId="0826A19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采购、公开招标、竞争性磋商、资格预审、中标</w:t>
            </w:r>
          </w:p>
        </w:tc>
        <w:tc>
          <w:tcPr>
            <w:tcW w:w="1125" w:type="dxa"/>
            <w:tcBorders>
              <w:top w:val="nil"/>
              <w:left w:val="nil"/>
              <w:bottom w:val="nil"/>
              <w:right w:val="nil"/>
            </w:tcBorders>
            <w:noWrap w:val="0"/>
            <w:tcMar>
              <w:top w:w="40" w:type="dxa"/>
              <w:left w:w="50" w:type="dxa"/>
              <w:bottom w:w="40" w:type="dxa"/>
              <w:right w:w="50" w:type="dxa"/>
            </w:tcMar>
            <w:vAlign w:val="center"/>
          </w:tcPr>
          <w:p ns1:paraId="0DC1D29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C1_idx / C_idx</w:t>
            </w:r>
          </w:p>
        </w:tc>
      </w:tr>
      <w:tr ns1: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6F8C712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w:t>
            </w:r>
          </w:p>
        </w:tc>
        <w:tc>
          <w:tcPr>
            <w:tcW w:w="0" w:type="auto"/>
            <w:tcBorders>
              <w:top w:val="nil"/>
              <w:left w:val="nil"/>
              <w:bottom w:val="nil"/>
              <w:right w:val="nil"/>
            </w:tcBorders>
            <w:noWrap w:val="0"/>
            <w:tcMar>
              <w:top w:w="40" w:type="dxa"/>
              <w:left w:w="50" w:type="dxa"/>
              <w:bottom w:w="40" w:type="dxa"/>
              <w:right w:w="50" w:type="dxa"/>
            </w:tcMar>
            <w:vAlign w:val="center"/>
          </w:tcPr>
          <w:p ns1:paraId="30C7E01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C2</w:t>
            </w:r>
          </w:p>
        </w:tc>
        <w:tc>
          <w:tcPr>
            <w:tcW w:w="0" w:type="auto"/>
            <w:tcBorders>
              <w:top w:val="nil"/>
              <w:left w:val="nil"/>
              <w:bottom w:val="nil"/>
              <w:right w:val="nil"/>
            </w:tcBorders>
            <w:noWrap w:val="0"/>
            <w:tcMar>
              <w:top w:w="40" w:type="dxa"/>
              <w:left w:w="50" w:type="dxa"/>
              <w:bottom w:w="40" w:type="dxa"/>
              <w:right w:w="50" w:type="dxa"/>
            </w:tcMar>
            <w:vAlign w:val="center"/>
          </w:tcPr>
          <w:p ns1:paraId="7A0067F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合同设计、权责配置与收益安排</w:t>
            </w:r>
          </w:p>
        </w:tc>
        <w:tc>
          <w:tcPr>
            <w:tcW w:w="0" w:type="auto"/>
            <w:tcBorders>
              <w:top w:val="nil"/>
              <w:left w:val="nil"/>
              <w:bottom w:val="nil"/>
              <w:right w:val="nil"/>
            </w:tcBorders>
            <w:noWrap w:val="0"/>
            <w:tcMar>
              <w:top w:w="40" w:type="dxa"/>
              <w:left w:w="50" w:type="dxa"/>
              <w:bottom w:w="40" w:type="dxa"/>
              <w:right w:w="50" w:type="dxa"/>
            </w:tcMar>
            <w:vAlign w:val="center"/>
          </w:tcPr>
          <w:p ns1:paraId="718E9ABD">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PPP合同、风险分担、回报机制、付费方式、收益安排</w:t>
            </w:r>
          </w:p>
        </w:tc>
        <w:tc>
          <w:tcPr>
            <w:tcW w:w="0" w:type="auto"/>
            <w:tcBorders>
              <w:top w:val="nil"/>
              <w:left w:val="nil"/>
              <w:bottom w:val="nil"/>
              <w:right w:val="nil"/>
            </w:tcBorders>
            <w:noWrap w:val="0"/>
            <w:tcMar>
              <w:top w:w="40" w:type="dxa"/>
              <w:left w:w="50" w:type="dxa"/>
              <w:bottom w:w="40" w:type="dxa"/>
              <w:right w:w="50" w:type="dxa"/>
            </w:tcMar>
            <w:vAlign w:val="center"/>
          </w:tcPr>
          <w:p ns1:paraId="0FE8D8E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合同、权利义务、风险分担、回报机制、政府付费</w:t>
            </w:r>
          </w:p>
        </w:tc>
        <w:tc>
          <w:tcPr>
            <w:tcW w:w="1125" w:type="dxa"/>
            <w:tcBorders>
              <w:top w:val="nil"/>
              <w:left w:val="nil"/>
              <w:bottom w:val="nil"/>
              <w:right w:val="nil"/>
            </w:tcBorders>
            <w:noWrap w:val="0"/>
            <w:tcMar>
              <w:top w:w="40" w:type="dxa"/>
              <w:left w:w="50" w:type="dxa"/>
              <w:bottom w:w="40" w:type="dxa"/>
              <w:right w:w="50" w:type="dxa"/>
            </w:tcMar>
            <w:vAlign w:val="center"/>
          </w:tcPr>
          <w:p ns1:paraId="67915D8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C2_idx / C_idx</w:t>
            </w:r>
          </w:p>
        </w:tc>
      </w:tr>
      <w:tr ns1: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14AB805A">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w:t>
            </w:r>
          </w:p>
        </w:tc>
        <w:tc>
          <w:tcPr>
            <w:tcW w:w="0" w:type="auto"/>
            <w:tcBorders>
              <w:top w:val="nil"/>
              <w:left w:val="nil"/>
              <w:bottom w:val="nil"/>
              <w:right w:val="nil"/>
            </w:tcBorders>
            <w:noWrap w:val="0"/>
            <w:tcMar>
              <w:top w:w="40" w:type="dxa"/>
              <w:left w:w="50" w:type="dxa"/>
              <w:bottom w:w="40" w:type="dxa"/>
              <w:right w:w="50" w:type="dxa"/>
            </w:tcMar>
            <w:vAlign w:val="center"/>
          </w:tcPr>
          <w:p ns1:paraId="2C1824B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C3</w:t>
            </w:r>
          </w:p>
        </w:tc>
        <w:tc>
          <w:tcPr>
            <w:tcW w:w="0" w:type="auto"/>
            <w:tcBorders>
              <w:top w:val="nil"/>
              <w:left w:val="nil"/>
              <w:bottom w:val="nil"/>
              <w:right w:val="nil"/>
            </w:tcBorders>
            <w:noWrap w:val="0"/>
            <w:tcMar>
              <w:top w:w="40" w:type="dxa"/>
              <w:left w:w="50" w:type="dxa"/>
              <w:bottom w:w="40" w:type="dxa"/>
              <w:right w:w="50" w:type="dxa"/>
            </w:tcMar>
            <w:vAlign w:val="center"/>
          </w:tcPr>
          <w:p ns1:paraId="6C80823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项目执行、绩效评价与运营维护</w:t>
            </w:r>
          </w:p>
        </w:tc>
        <w:tc>
          <w:tcPr>
            <w:tcW w:w="0" w:type="auto"/>
            <w:tcBorders>
              <w:top w:val="nil"/>
              <w:left w:val="nil"/>
              <w:bottom w:val="nil"/>
              <w:right w:val="nil"/>
            </w:tcBorders>
            <w:noWrap w:val="0"/>
            <w:tcMar>
              <w:top w:w="40" w:type="dxa"/>
              <w:left w:w="50" w:type="dxa"/>
              <w:bottom w:w="40" w:type="dxa"/>
              <w:right w:w="50" w:type="dxa"/>
            </w:tcMar>
            <w:vAlign w:val="center"/>
          </w:tcPr>
          <w:p ns1:paraId="4F0279B2">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项目实施、建设推进、运营管理、绩效考核、后评价</w:t>
            </w:r>
          </w:p>
        </w:tc>
        <w:tc>
          <w:tcPr>
            <w:tcW w:w="0" w:type="auto"/>
            <w:tcBorders>
              <w:top w:val="nil"/>
              <w:left w:val="nil"/>
              <w:bottom w:val="nil"/>
              <w:right w:val="nil"/>
            </w:tcBorders>
            <w:noWrap w:val="0"/>
            <w:tcMar>
              <w:top w:w="40" w:type="dxa"/>
              <w:left w:w="50" w:type="dxa"/>
              <w:bottom w:w="40" w:type="dxa"/>
              <w:right w:w="50" w:type="dxa"/>
            </w:tcMar>
            <w:vAlign w:val="center"/>
          </w:tcPr>
          <w:p ns1:paraId="02A29D7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实施、执行、推进、运营、维护、绩效评价、验收</w:t>
            </w:r>
          </w:p>
        </w:tc>
        <w:tc>
          <w:tcPr>
            <w:tcW w:w="1125" w:type="dxa"/>
            <w:tcBorders>
              <w:top w:val="nil"/>
              <w:left w:val="nil"/>
              <w:bottom w:val="nil"/>
              <w:right w:val="nil"/>
            </w:tcBorders>
            <w:noWrap w:val="0"/>
            <w:tcMar>
              <w:top w:w="40" w:type="dxa"/>
              <w:left w:w="50" w:type="dxa"/>
              <w:bottom w:w="40" w:type="dxa"/>
              <w:right w:w="50" w:type="dxa"/>
            </w:tcMar>
            <w:vAlign w:val="center"/>
          </w:tcPr>
          <w:p ns1:paraId="3ED9617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C3_idx / C_idx</w:t>
            </w:r>
          </w:p>
        </w:tc>
      </w:tr>
      <w:tr ns1: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2BD42CB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w:t>
            </w:r>
          </w:p>
        </w:tc>
        <w:tc>
          <w:tcPr>
            <w:tcW w:w="0" w:type="auto"/>
            <w:tcBorders>
              <w:top w:val="nil"/>
              <w:left w:val="nil"/>
              <w:bottom w:val="nil"/>
              <w:right w:val="nil"/>
            </w:tcBorders>
            <w:noWrap w:val="0"/>
            <w:tcMar>
              <w:top w:w="40" w:type="dxa"/>
              <w:left w:w="50" w:type="dxa"/>
              <w:bottom w:w="40" w:type="dxa"/>
              <w:right w:w="50" w:type="dxa"/>
            </w:tcMar>
            <w:vAlign w:val="center"/>
          </w:tcPr>
          <w:p ns1:paraId="25194BB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D1</w:t>
            </w:r>
          </w:p>
        </w:tc>
        <w:tc>
          <w:tcPr>
            <w:tcW w:w="0" w:type="auto"/>
            <w:tcBorders>
              <w:top w:val="nil"/>
              <w:left w:val="nil"/>
              <w:bottom w:val="nil"/>
              <w:right w:val="nil"/>
            </w:tcBorders>
            <w:noWrap w:val="0"/>
            <w:tcMar>
              <w:top w:w="40" w:type="dxa"/>
              <w:left w:w="50" w:type="dxa"/>
              <w:bottom w:w="40" w:type="dxa"/>
              <w:right w:w="50" w:type="dxa"/>
            </w:tcMar>
            <w:vAlign w:val="center"/>
          </w:tcPr>
          <w:p ns1:paraId="5D38B15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财政约束、债务底线与责任风险</w:t>
            </w:r>
          </w:p>
        </w:tc>
        <w:tc>
          <w:tcPr>
            <w:tcW w:w="0" w:type="auto"/>
            <w:tcBorders>
              <w:top w:val="nil"/>
              <w:left w:val="nil"/>
              <w:bottom w:val="nil"/>
              <w:right w:val="nil"/>
            </w:tcBorders>
            <w:noWrap w:val="0"/>
            <w:tcMar>
              <w:top w:w="40" w:type="dxa"/>
              <w:left w:w="50" w:type="dxa"/>
              <w:bottom w:w="40" w:type="dxa"/>
              <w:right w:w="50" w:type="dxa"/>
            </w:tcMar>
            <w:vAlign w:val="center"/>
          </w:tcPr>
          <w:p ns1:paraId="316699D2">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财政风险、债务约束、隐性债务、底线管理</w:t>
            </w:r>
          </w:p>
        </w:tc>
        <w:tc>
          <w:tcPr>
            <w:tcW w:w="0" w:type="auto"/>
            <w:tcBorders>
              <w:top w:val="nil"/>
              <w:left w:val="nil"/>
              <w:bottom w:val="nil"/>
              <w:right w:val="nil"/>
            </w:tcBorders>
            <w:noWrap w:val="0"/>
            <w:tcMar>
              <w:top w:w="40" w:type="dxa"/>
              <w:left w:w="50" w:type="dxa"/>
              <w:bottom w:w="40" w:type="dxa"/>
              <w:right w:w="50" w:type="dxa"/>
            </w:tcMar>
            <w:vAlign w:val="center"/>
          </w:tcPr>
          <w:p ns1:paraId="329DF10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财政风险、债务风险、隐性债务、底线管理、责任边界</w:t>
            </w:r>
          </w:p>
        </w:tc>
        <w:tc>
          <w:tcPr>
            <w:tcW w:w="1125" w:type="dxa"/>
            <w:tcBorders>
              <w:top w:val="nil"/>
              <w:left w:val="nil"/>
              <w:bottom w:val="nil"/>
              <w:right w:val="nil"/>
            </w:tcBorders>
            <w:noWrap w:val="0"/>
            <w:tcMar>
              <w:top w:w="40" w:type="dxa"/>
              <w:left w:w="50" w:type="dxa"/>
              <w:bottom w:w="40" w:type="dxa"/>
              <w:right w:w="50" w:type="dxa"/>
            </w:tcMar>
            <w:vAlign w:val="center"/>
          </w:tcPr>
          <w:p ns1:paraId="778DAA5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D1_idx / D_idx</w:t>
            </w:r>
          </w:p>
        </w:tc>
      </w:tr>
      <w:tr ns1: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40" w:type="dxa"/>
              <w:left w:w="50" w:type="dxa"/>
              <w:bottom w:w="40" w:type="dxa"/>
              <w:right w:w="50" w:type="dxa"/>
            </w:tcMar>
            <w:vAlign w:val="center"/>
          </w:tcPr>
          <w:p ns1:paraId="21AD889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w:t>
            </w:r>
          </w:p>
        </w:tc>
        <w:tc>
          <w:tcPr>
            <w:tcW w:w="0" w:type="auto"/>
            <w:tcBorders>
              <w:top w:val="nil"/>
              <w:left w:val="nil"/>
              <w:bottom w:val="nil"/>
              <w:right w:val="nil"/>
            </w:tcBorders>
            <w:noWrap w:val="0"/>
            <w:tcMar>
              <w:top w:w="40" w:type="dxa"/>
              <w:left w:w="50" w:type="dxa"/>
              <w:bottom w:w="40" w:type="dxa"/>
              <w:right w:w="50" w:type="dxa"/>
            </w:tcMar>
            <w:vAlign w:val="center"/>
          </w:tcPr>
          <w:p ns1:paraId="24FF165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D2</w:t>
            </w:r>
          </w:p>
        </w:tc>
        <w:tc>
          <w:tcPr>
            <w:tcW w:w="0" w:type="auto"/>
            <w:tcBorders>
              <w:top w:val="nil"/>
              <w:left w:val="nil"/>
              <w:bottom w:val="nil"/>
              <w:right w:val="nil"/>
            </w:tcBorders>
            <w:noWrap w:val="0"/>
            <w:tcMar>
              <w:top w:w="40" w:type="dxa"/>
              <w:left w:w="50" w:type="dxa"/>
              <w:bottom w:w="40" w:type="dxa"/>
              <w:right w:w="50" w:type="dxa"/>
            </w:tcMar>
            <w:vAlign w:val="center"/>
          </w:tcPr>
          <w:p ns1:paraId="5640E6B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违约失灵、终止补偿与退出机制</w:t>
            </w:r>
          </w:p>
        </w:tc>
        <w:tc>
          <w:tcPr>
            <w:tcW w:w="0" w:type="auto"/>
            <w:tcBorders>
              <w:top w:val="nil"/>
              <w:left w:val="nil"/>
              <w:bottom w:val="nil"/>
              <w:right w:val="nil"/>
            </w:tcBorders>
            <w:noWrap w:val="0"/>
            <w:tcMar>
              <w:top w:w="40" w:type="dxa"/>
              <w:left w:w="50" w:type="dxa"/>
              <w:bottom w:w="40" w:type="dxa"/>
              <w:right w:w="50" w:type="dxa"/>
            </w:tcMar>
            <w:vAlign w:val="center"/>
          </w:tcPr>
          <w:p ns1:paraId="6EA3C543">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违约、提前终止、补偿、退出、重组与失败项目处置</w:t>
            </w:r>
          </w:p>
        </w:tc>
        <w:tc>
          <w:tcPr>
            <w:tcW w:w="0" w:type="auto"/>
            <w:tcBorders>
              <w:top w:val="nil"/>
              <w:left w:val="nil"/>
              <w:bottom w:val="nil"/>
              <w:right w:val="nil"/>
            </w:tcBorders>
            <w:noWrap w:val="0"/>
            <w:tcMar>
              <w:top w:w="40" w:type="dxa"/>
              <w:left w:w="50" w:type="dxa"/>
              <w:bottom w:w="40" w:type="dxa"/>
              <w:right w:w="50" w:type="dxa"/>
            </w:tcMar>
            <w:vAlign w:val="center"/>
          </w:tcPr>
          <w:p ns1:paraId="1C81854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违约、终止、补偿、退出、解约、清算、风险处置</w:t>
            </w:r>
          </w:p>
        </w:tc>
        <w:tc>
          <w:tcPr>
            <w:tcW w:w="1125" w:type="dxa"/>
            <w:tcBorders>
              <w:top w:val="nil"/>
              <w:left w:val="nil"/>
              <w:bottom w:val="nil"/>
              <w:right w:val="nil"/>
            </w:tcBorders>
            <w:noWrap w:val="0"/>
            <w:tcMar>
              <w:top w:w="40" w:type="dxa"/>
              <w:left w:w="50" w:type="dxa"/>
              <w:bottom w:w="40" w:type="dxa"/>
              <w:right w:w="50" w:type="dxa"/>
            </w:tcMar>
            <w:vAlign w:val="center"/>
          </w:tcPr>
          <w:p ns1:paraId="44376EC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D2_idx / D_idx</w:t>
            </w:r>
          </w:p>
        </w:tc>
      </w:tr>
      <w:tr ns1: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624" w:type="dxa"/>
            <w:tcBorders>
              <w:top w:val="nil"/>
              <w:left w:val="nil"/>
              <w:bottom w:val="single" w:color="auto" w:sz="12" w:space="0"/>
              <w:right w:val="nil"/>
            </w:tcBorders>
            <w:noWrap w:val="0"/>
            <w:tcMar>
              <w:top w:w="40" w:type="dxa"/>
              <w:left w:w="50" w:type="dxa"/>
              <w:bottom w:w="40" w:type="dxa"/>
              <w:right w:w="50" w:type="dxa"/>
            </w:tcMar>
            <w:vAlign w:val="center"/>
          </w:tcPr>
          <w:p ns1:paraId="206E10D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w:t>
            </w:r>
          </w:p>
        </w:tc>
        <w:tc>
          <w:tcPr>
            <w:tcW w:w="639" w:type="dxa"/>
            <w:tcBorders>
              <w:top w:val="nil"/>
              <w:left w:val="nil"/>
              <w:bottom w:val="single" w:color="auto" w:sz="12" w:space="0"/>
              <w:right w:val="nil"/>
            </w:tcBorders>
            <w:noWrap w:val="0"/>
            <w:tcMar>
              <w:top w:w="40" w:type="dxa"/>
              <w:left w:w="50" w:type="dxa"/>
              <w:bottom w:w="40" w:type="dxa"/>
              <w:right w:w="50" w:type="dxa"/>
            </w:tcMar>
            <w:vAlign w:val="center"/>
          </w:tcPr>
          <w:p ns1:paraId="0D1E66D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D3</w:t>
            </w:r>
          </w:p>
        </w:tc>
        <w:tc>
          <w:tcPr>
            <w:tcW w:w="1903" w:type="dxa"/>
            <w:tcBorders>
              <w:top w:val="nil"/>
              <w:left w:val="nil"/>
              <w:bottom w:val="single" w:color="auto" w:sz="12" w:space="0"/>
              <w:right w:val="nil"/>
            </w:tcBorders>
            <w:noWrap w:val="0"/>
            <w:tcMar>
              <w:top w:w="40" w:type="dxa"/>
              <w:left w:w="50" w:type="dxa"/>
              <w:bottom w:w="40" w:type="dxa"/>
              <w:right w:w="50" w:type="dxa"/>
            </w:tcMar>
            <w:vAlign w:val="center"/>
          </w:tcPr>
          <w:p ns1:paraId="4155960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监督检查、整改清退与问责纠偏</w:t>
            </w:r>
          </w:p>
        </w:tc>
        <w:tc>
          <w:tcPr>
            <w:tcW w:w="3216" w:type="dxa"/>
            <w:tcBorders>
              <w:top w:val="nil"/>
              <w:left w:val="nil"/>
              <w:bottom w:val="single" w:color="auto" w:sz="12" w:space="0"/>
              <w:right w:val="nil"/>
            </w:tcBorders>
            <w:noWrap w:val="0"/>
            <w:tcMar>
              <w:top w:w="40" w:type="dxa"/>
              <w:left w:w="50" w:type="dxa"/>
              <w:bottom w:w="40" w:type="dxa"/>
              <w:right w:w="50" w:type="dxa"/>
            </w:tcMar>
            <w:vAlign w:val="center"/>
          </w:tcPr>
          <w:p ns1:paraId="37C05E93">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监管、审计、整改、清退、责任追究与纠偏</w:t>
            </w:r>
          </w:p>
        </w:tc>
        <w:tc>
          <w:tcPr>
            <w:tcW w:w="3216" w:type="dxa"/>
            <w:tcBorders>
              <w:top w:val="nil"/>
              <w:left w:val="nil"/>
              <w:bottom w:val="single" w:color="auto" w:sz="12" w:space="0"/>
              <w:right w:val="nil"/>
            </w:tcBorders>
            <w:noWrap w:val="0"/>
            <w:tcMar>
              <w:top w:w="40" w:type="dxa"/>
              <w:left w:w="50" w:type="dxa"/>
              <w:bottom w:w="40" w:type="dxa"/>
              <w:right w:w="50" w:type="dxa"/>
            </w:tcMar>
            <w:vAlign w:val="center"/>
          </w:tcPr>
          <w:p ns1:paraId="62378D3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监管、审计、督查、整改、清退、问责、黑名单</w:t>
            </w:r>
          </w:p>
        </w:tc>
        <w:tc>
          <w:tcPr>
            <w:tcW w:w="1125" w:type="dxa"/>
            <w:tcBorders>
              <w:top w:val="nil"/>
              <w:left w:val="nil"/>
              <w:bottom w:val="single" w:color="auto" w:sz="12" w:space="0"/>
              <w:right w:val="nil"/>
            </w:tcBorders>
            <w:noWrap w:val="0"/>
            <w:tcMar>
              <w:top w:w="40" w:type="dxa"/>
              <w:left w:w="50" w:type="dxa"/>
              <w:bottom w:w="40" w:type="dxa"/>
              <w:right w:w="50" w:type="dxa"/>
            </w:tcMar>
            <w:vAlign w:val="center"/>
          </w:tcPr>
          <w:p ns1:paraId="34B5AA3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D3_idx / D_idx</w:t>
            </w:r>
          </w:p>
        </w:tc>
      </w:tr>
    </w:tbl>
    <w:p>
      <w:pPr>
        <w:jc w:val="both"/>
        <w:spacing w:before="0" w:after="0" w:line="420" w:lineRule="auto"/>
        <w:ind w:firstLine="420"/>
      </w:pPr>
      <w:r>
        <w:rPr>
          <w:rFonts w:ascii="Times New Roman" w:hAnsi="Times New Roman" w:eastAsia="宋体"/>
          <w:sz w:val="24"/>
          <w:szCs w:val="24"/>
        </w:rPr>
        <w: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p>
      <w:pPr>
        <w:jc w:val="both"/>
        <w:spacing w:before="0" w:after="0" w:line="420" w:lineRule="auto"/>
        <w:ind w:firstLine="420"/>
      </w:pPr>
      <w:r>
        <w:rPr>
          <w:rFonts w:ascii="Times New Roman" w:hAnsi="Times New Roman" w:eastAsia="宋体"/>
          <w:sz w:val="24"/>
          <w:szCs w:val="24"/>
        </w:rPr>
        <w: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w:t>
      </w:r>
    </w:p>
    <w:p>
      <w:pPr>
        <w:jc w:val="left"/>
        <w:spacing w:before="120" w:after="60" w:line="420" w:lineRule="auto"/>
      </w:pPr>
      <w:r>
        <w:rPr>
          <w:rFonts w:ascii="Times New Roman" w:hAnsi="Times New Roman" w:eastAsia="宋体"/>
          <w:b/>
          <w:sz w:val="28"/>
          <w:szCs w:val="28"/>
        </w:rPr>
        <w:t>5.3 动态路径与识别边界</w:t>
      </w:r>
    </w:p>
    <w:p>
      <w:pPr>
        <w:jc w:val="both"/>
        <w:spacing w:before="0" w:after="0" w:line="420" w:lineRule="auto"/>
        <w:ind w:firstLine="420"/>
      </w:pPr>
      <w:r>
        <w:rPr>
          <w:rFonts w:ascii="Times New Roman" w:hAnsi="Times New Roman" w:eastAsia="宋体"/>
          <w:sz w:val="24"/>
          <w:szCs w:val="24"/>
        </w:rP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w:pPr>
        <w:jc w:val="both"/>
        <w:spacing w:before="0" w:after="0" w:line="420" w:lineRule="auto"/>
        <w:ind w:firstLine="420"/>
      </w:pPr>
      <w:r>
        <w:rPr>
          <w:rFonts w:ascii="Times New Roman" w:hAnsi="Times New Roman" w:eastAsia="宋体"/>
          <w:sz w:val="24"/>
          <w:szCs w:val="24"/>
        </w:rPr>
        <w:t>从动态结果看，exec_share和proc_share在处理后呈现出与基准结果一致的方向：执行阶段占比逐步上升，采购阶段占比相应下降，说明改革效应更接近于一类随时间推进而逐步释放的治理过程重组。然而，需要同时指出的是，处理前若干期的领先项并非完全平稳。特别是exec_share和proc_share在&lt;=-2窗口上的领先系数已经显示出统计显著，这意味着当前事件研究结果不能被解释为“平行趋势成立”的强证据。</w:t>
      </w:r>
    </w:p>
    <w:p>
      <w:pPr>
        <w:jc w:val="both"/>
        <w:spacing w:before="0" w:after="0" w:line="420" w:lineRule="auto"/>
        <w:ind w:firstLine="420"/>
      </w:pPr>
      <w:r>
        <w:rPr>
          <w:rFonts w:ascii="Times New Roman" w:hAnsi="Times New Roman" w:eastAsia="宋体"/>
          <w:sz w:val="24"/>
          <w:szCs w:val="24"/>
        </w:rPr>
        <w:t>这一结论并不推翻基准结果，但它对写作口径提出了明确约束。第一，动态结果可以用来说明改革影响的时间路径，即治理过程重组并非瞬时完成，而是具有一定展开过程。第二，动态结果也提示识别边界仍然存在，尤其是处理前差异不能被完全排除。第三，对ppp_quality_zindex而言，动态路径同样未形成稳定显著的支持。因此，本文对事件研究的处理方式是克制的：它只作为路径展示和识别限制说明，而不作为强因果识别的附加背书。</w:t>
      </w:r>
    </w:p>
    <w:p>
      <w:pPr>
        <w:jc w:val="both"/>
        <w:spacing w:before="0" w:after="0" w:line="420" w:lineRule="auto"/>
        <w:ind w:firstLine="420"/>
      </w:pPr>
      <w:r>
        <w:rPr>
          <w:rFonts w:ascii="Times New Roman" w:hAnsi="Times New Roman" w:eastAsia="宋体"/>
          <w:sz w:val="24"/>
          <w:szCs w:val="24"/>
        </w:rPr>
        <w:t>从公共管理含义上看，这一结果提示PPP治理结构的调整往往发生在制度改革推进过程中，而非完全同步于政策启动时点；但从识别边界上看，这一节最多支持“动态展开”而非“完美前趋势”。</w:t>
      </w:r>
    </w:p>
    <w:p>
      <w:pPr>
        <w:jc w:val="left"/>
        <w:spacing w:before="120" w:after="60" w:line="420" w:lineRule="auto"/>
      </w:pPr>
      <w:r>
        <w:rPr>
          <w:rFonts w:ascii="Times New Roman" w:hAnsi="Times New Roman" w:eastAsia="宋体"/>
          <w:b/>
          <w:sz w:val="28"/>
          <w:szCs w:val="28"/>
        </w:rPr>
        <w:t>5.4 机制分析</w:t>
      </w:r>
    </w:p>
    <w:p>
      <w:pPr>
        <w:jc w:val="both"/>
        <w:spacing w:before="0" w:after="0" w:line="420" w:lineRule="auto"/>
        <w:ind w:firstLine="420"/>
      </w:pPr>
      <w:r>
        <w:rPr>
          <w:rFonts w:ascii="Times New Roman" w:hAnsi="Times New Roman" w:eastAsia="宋体"/>
          <w:sz w:val="24"/>
          <w:szCs w:val="24"/>
        </w:rP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w:pPr>
        <w:jc w:val="both"/>
        <w:spacing w:before="0" w:after="0" w:line="420" w:lineRule="auto"/>
        <w:ind w:firstLine="420"/>
      </w:pPr>
      <w:r>
        <w:rPr>
          <w:rFonts w:ascii="Times New Roman" w:hAnsi="Times New Roman" w:eastAsia="宋体"/>
          <w:sz w:val="24"/>
          <w:szCs w:val="24"/>
        </w:rPr>
        <w:t>表5汇总了机制检验的核心结果。首先，treat_share对A维度指数的影响显著，表明数字治理接口与数据协同确实是最先响应的治理环节。这与理论部分提出的“接口优先”判断一致。其次，B维度和C维度对应的文本治理表达也出现显著联动变化，说明前端规范准入和采购—执行治理安排随着改革推进而发生了重组。需要注意的是，这里的经验含义应理解为治理表达结构变化和制度重心转移，而不宜机械理解为所有单项指标均线性改善。再次，在结果方程中，A维度中介项对exec_share和proc_share的系数方向与理论预期相符，但统计上并不稳定；链式路径中，B_idx→C_idx和C_idx→D_idx两段显著，而A_idx→B_idx不显著；严格中介分解的Sobel检验和Bootstrap区间均未支持稳定中介效应。</w:t>
      </w:r>
    </w:p>
    <w:p>
      <w:pPr>
        <w:jc w:val="center"/>
        <w:spacing w:before="0" w:after="0" w:line="420" w:lineRule="auto"/>
      </w:pPr>
      <w:r>
        <w:rPr>
          <w:rFonts w:ascii="Times New Roman" w:hAnsi="Times New Roman" w:eastAsia="宋体"/>
          <w:sz w:val="22"/>
          <w:szCs w:val="22"/>
        </w:rPr>
        <w:t>表5 机制检验摘要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4"/>
        <w:gridCol w:w="2664"/>
        <w:gridCol w:w="2664"/>
        <w:gridCol w:w="2664"/>
      </w:tblGrid>
      <w:tr ns1:paraId="37FE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2F4AD9BD">
            <w:pPr>
              <w:spacing w:before="0" w:after="0" w:line="240" w:lineRule="auto"/>
              <w:jc w:val="center"/>
            </w:pPr>
            <w:r>
              <w:rPr>
                <w:rFonts w:ascii="Noto Serif CJK SC" w:hAnsi="Noto Serif CJK SC" w:eastAsia="Noto Serif CJK SC"/>
                <w:b/>
                <w:sz w:val="16"/>
              </w:rPr>
              <w:t>环节</w:t>
            </w:r>
          </w:p>
        </w:tc>
        <w:tc>
          <w:tcPr>
            <w:tcW w:w="2016" w:type="dxa"/>
            <w:tcMar>
              <w:top w:w="40" w:type="dxa"/>
              <w:left w:w="50" w:type="dxa"/>
              <w:bottom w:w="40" w:type="dxa"/>
              <w:right w:w="50" w:type="dxa"/>
            </w:tcMar>
            <w:vAlign w:val="center"/>
          </w:tcPr>
          <w:p ns1:paraId="46A48ACF">
            <w:pPr>
              <w:spacing w:before="0" w:after="0" w:line="240" w:lineRule="auto"/>
              <w:jc w:val="center"/>
            </w:pPr>
            <w:r>
              <w:rPr>
                <w:rFonts w:ascii="Noto Serif CJK SC" w:hAnsi="Noto Serif CJK SC" w:eastAsia="Noto Serif CJK SC"/>
                <w:b/>
                <w:sz w:val="16"/>
              </w:rPr>
              <w:t>当前正式数据/结果</w:t>
            </w:r>
          </w:p>
        </w:tc>
        <w:tc>
          <w:tcPr>
            <w:tcW w:w="3384" w:type="dxa"/>
            <w:tcMar>
              <w:top w:w="40" w:type="dxa"/>
              <w:left w:w="50" w:type="dxa"/>
              <w:bottom w:w="40" w:type="dxa"/>
              <w:right w:w="50" w:type="dxa"/>
            </w:tcMar>
            <w:vAlign w:val="center"/>
          </w:tcPr>
          <w:p ns1:paraId="2EDA2676">
            <w:pPr>
              <w:spacing w:before="0" w:after="0" w:line="240" w:lineRule="auto"/>
              <w:jc w:val="center"/>
            </w:pPr>
            <w:r>
              <w:rPr>
                <w:rFonts w:ascii="Noto Serif CJK SC" w:hAnsi="Noto Serif CJK SC" w:eastAsia="Noto Serif CJK SC"/>
                <w:b/>
                <w:sz w:val="16"/>
              </w:rPr>
              <w:t>作用</w:t>
            </w:r>
          </w:p>
        </w:tc>
        <w:tc>
          <w:tcPr>
            <w:tcW w:w="2304" w:type="dxa"/>
            <w:tcMar>
              <w:top w:w="40" w:type="dxa"/>
              <w:left w:w="50" w:type="dxa"/>
              <w:bottom w:w="40" w:type="dxa"/>
              <w:right w:w="50" w:type="dxa"/>
            </w:tcMar>
            <w:vAlign w:val="center"/>
          </w:tcPr>
          <w:p ns1:paraId="08F499E0">
            <w:pPr>
              <w:spacing w:before="0" w:after="0" w:line="240" w:lineRule="auto"/>
              <w:jc w:val="center"/>
            </w:pPr>
            <w:r>
              <w:rPr>
                <w:rFonts w:ascii="Noto Serif CJK SC" w:hAnsi="Noto Serif CJK SC" w:eastAsia="Noto Serif CJK SC"/>
                <w:b/>
                <w:sz w:val="16"/>
              </w:rPr>
              <w:t>后续进入章节</w:t>
            </w:r>
          </w:p>
        </w:tc>
      </w:tr>
      <w:tr ns1:paraId="5E9D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55383C80">
            <w:pPr>
              <w:spacing w:before="0" w:after="0" w:line="240" w:lineRule="auto"/>
              <w:jc w:val="center"/>
            </w:pPr>
            <w:r>
              <w:rPr>
                <w:rFonts w:ascii="Noto Serif CJK SC" w:hAnsi="Noto Serif CJK SC" w:eastAsia="Noto Serif CJK SC"/>
                <w:b w:val="0"/>
                <w:sz w:val="16"/>
              </w:rPr>
              <w:t>试编码样本数</w:t>
            </w:r>
          </w:p>
        </w:tc>
        <w:tc>
          <w:tcPr>
            <w:tcW w:w="2016" w:type="dxa"/>
            <w:tcMar>
              <w:top w:w="40" w:type="dxa"/>
              <w:left w:w="50" w:type="dxa"/>
              <w:bottom w:w="40" w:type="dxa"/>
              <w:right w:w="50" w:type="dxa"/>
            </w:tcMar>
            <w:vAlign w:val="center"/>
          </w:tcPr>
          <w:p ns1:paraId="6BB12592">
            <w:pPr>
              <w:spacing w:before="0" w:after="0" w:line="240" w:lineRule="auto"/>
              <w:jc w:val="center"/>
            </w:pPr>
            <w:r>
              <w:rPr>
                <w:rFonts w:ascii="Noto Serif CJK SC" w:hAnsi="Noto Serif CJK SC" w:eastAsia="Noto Serif CJK SC"/>
                <w:b w:val="0"/>
                <w:sz w:val="16"/>
              </w:rPr>
              <w:t>120</w:t>
            </w:r>
          </w:p>
        </w:tc>
        <w:tc>
          <w:tcPr>
            <w:tcW w:w="3384" w:type="dxa"/>
            <w:tcMar>
              <w:top w:w="40" w:type="dxa"/>
              <w:left w:w="50" w:type="dxa"/>
              <w:bottom w:w="40" w:type="dxa"/>
              <w:right w:w="50" w:type="dxa"/>
            </w:tcMar>
            <w:vAlign w:val="center"/>
          </w:tcPr>
          <w:p ns1:paraId="2A52EA32">
            <w:pPr>
              <w:spacing w:before="0" w:after="0" w:line="240" w:lineRule="auto"/>
              <w:jc w:val="center"/>
            </w:pPr>
            <w:r>
              <w:rPr>
                <w:rFonts w:ascii="Noto Serif CJK SC" w:hAnsi="Noto Serif CJK SC" w:eastAsia="Noto Serif CJK SC"/>
                <w:b w:val="0"/>
                <w:sz w:val="16"/>
              </w:rPr>
              <w:t>形成初始代码本、训练监督分类器</w:t>
            </w:r>
          </w:p>
        </w:tc>
        <w:tc>
          <w:tcPr>
            <w:tcW w:w="2304" w:type="dxa"/>
            <w:tcMar>
              <w:top w:w="40" w:type="dxa"/>
              <w:left w:w="50" w:type="dxa"/>
              <w:bottom w:w="40" w:type="dxa"/>
              <w:right w:w="50" w:type="dxa"/>
            </w:tcMar>
            <w:vAlign w:val="center"/>
          </w:tcPr>
          <w:p ns1:paraId="6472632D">
            <w:pPr>
              <w:spacing w:before="0" w:after="0" w:line="240" w:lineRule="auto"/>
              <w:jc w:val="center"/>
            </w:pPr>
            <w:r>
              <w:rPr>
                <w:rFonts w:ascii="Noto Serif CJK SC" w:hAnsi="Noto Serif CJK SC" w:eastAsia="Noto Serif CJK SC"/>
                <w:b w:val="0"/>
                <w:sz w:val="16"/>
              </w:rPr>
              <w:t>第3.1、3.5节</w:t>
            </w:r>
          </w:p>
        </w:tc>
      </w:tr>
      <w:tr ns1:paraId="5B69D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794B3D30">
            <w:pPr>
              <w:spacing w:before="0" w:after="0" w:line="240" w:lineRule="auto"/>
              <w:jc w:val="center"/>
            </w:pPr>
            <w:r>
              <w:rPr>
                <w:rFonts w:ascii="Noto Serif CJK SC" w:hAnsi="Noto Serif CJK SC" w:eastAsia="Noto Serif CJK SC"/>
                <w:b w:val="0"/>
                <w:sz w:val="16"/>
              </w:rPr>
              <w:t>原始全文语料规模</w:t>
            </w:r>
          </w:p>
        </w:tc>
        <w:tc>
          <w:tcPr>
            <w:tcW w:w="2016" w:type="dxa"/>
            <w:tcMar>
              <w:top w:w="40" w:type="dxa"/>
              <w:left w:w="50" w:type="dxa"/>
              <w:bottom w:w="40" w:type="dxa"/>
              <w:right w:w="50" w:type="dxa"/>
            </w:tcMar>
            <w:vAlign w:val="center"/>
          </w:tcPr>
          <w:p ns1:paraId="747BEB92">
            <w:pPr>
              <w:spacing w:before="0" w:after="0" w:line="240" w:lineRule="auto"/>
              <w:jc w:val="center"/>
            </w:pPr>
            <w:r>
              <w:rPr>
                <w:rFonts w:ascii="Noto Serif CJK SC" w:hAnsi="Noto Serif CJK SC" w:eastAsia="Noto Serif CJK SC"/>
                <w:b w:val="0"/>
                <w:sz w:val="16"/>
              </w:rPr>
              <w:t>1472</w:t>
            </w:r>
          </w:p>
        </w:tc>
        <w:tc>
          <w:tcPr>
            <w:tcW w:w="3384" w:type="dxa"/>
            <w:tcMar>
              <w:top w:w="40" w:type="dxa"/>
              <w:left w:w="50" w:type="dxa"/>
              <w:bottom w:w="40" w:type="dxa"/>
              <w:right w:w="50" w:type="dxa"/>
            </w:tcMar>
            <w:vAlign w:val="center"/>
          </w:tcPr>
          <w:p ns1:paraId="24D8C9C3">
            <w:pPr>
              <w:spacing w:before="0" w:after="0" w:line="240" w:lineRule="auto"/>
              <w:jc w:val="center"/>
            </w:pPr>
            <w:r>
              <w:rPr>
                <w:rFonts w:ascii="Noto Serif CJK SC" w:hAnsi="Noto Serif CJK SC" w:eastAsia="Noto Serif CJK SC"/>
                <w:b w:val="0"/>
                <w:sz w:val="16"/>
              </w:rPr>
              <w:t>文本分析总语料基础</w:t>
            </w:r>
          </w:p>
        </w:tc>
        <w:tc>
          <w:tcPr>
            <w:tcW w:w="2304" w:type="dxa"/>
            <w:tcMar>
              <w:top w:w="40" w:type="dxa"/>
              <w:left w:w="50" w:type="dxa"/>
              <w:bottom w:w="40" w:type="dxa"/>
              <w:right w:w="50" w:type="dxa"/>
            </w:tcMar>
            <w:vAlign w:val="center"/>
          </w:tcPr>
          <w:p ns1:paraId="0811D079">
            <w:pPr>
              <w:spacing w:before="0" w:after="0" w:line="240" w:lineRule="auto"/>
              <w:jc w:val="center"/>
            </w:pPr>
            <w:r>
              <w:rPr>
                <w:rFonts w:ascii="Noto Serif CJK SC" w:hAnsi="Noto Serif CJK SC" w:eastAsia="Noto Serif CJK SC"/>
                <w:b w:val="0"/>
                <w:sz w:val="16"/>
              </w:rPr>
              <w:t>第3章</w:t>
            </w:r>
          </w:p>
        </w:tc>
      </w:tr>
      <w:tr ns1:paraId="4F1D0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00C5B564">
            <w:pPr>
              <w:spacing w:before="0" w:after="0" w:line="240" w:lineRule="auto"/>
              <w:jc w:val="center"/>
            </w:pPr>
            <w:r>
              <w:rPr>
                <w:rFonts w:ascii="Noto Serif CJK SC" w:hAnsi="Noto Serif CJK SC" w:eastAsia="Noto Serif CJK SC"/>
                <w:b w:val="0"/>
                <w:sz w:val="16"/>
              </w:rPr>
              <w:t>DID主识别窗口文档样本</w:t>
            </w:r>
          </w:p>
        </w:tc>
        <w:tc>
          <w:tcPr>
            <w:tcW w:w="2016" w:type="dxa"/>
            <w:tcMar>
              <w:top w:w="40" w:type="dxa"/>
              <w:left w:w="50" w:type="dxa"/>
              <w:bottom w:w="40" w:type="dxa"/>
              <w:right w:w="50" w:type="dxa"/>
            </w:tcMar>
            <w:vAlign w:val="center"/>
          </w:tcPr>
          <w:p ns1:paraId="3F61F061">
            <w:pPr>
              <w:spacing w:before="0" w:after="0" w:line="240" w:lineRule="auto"/>
              <w:jc w:val="center"/>
            </w:pPr>
            <w:r>
              <w:rPr>
                <w:rFonts w:ascii="Noto Serif CJK SC" w:hAnsi="Noto Serif CJK SC" w:eastAsia="Noto Serif CJK SC"/>
                <w:b w:val="0"/>
                <w:sz w:val="16"/>
              </w:rPr>
              <w:t>1307</w:t>
            </w:r>
          </w:p>
        </w:tc>
        <w:tc>
          <w:tcPr>
            <w:tcW w:w="3384" w:type="dxa"/>
            <w:tcMar>
              <w:top w:w="40" w:type="dxa"/>
              <w:left w:w="50" w:type="dxa"/>
              <w:bottom w:w="40" w:type="dxa"/>
              <w:right w:w="50" w:type="dxa"/>
            </w:tcMar>
            <w:vAlign w:val="center"/>
          </w:tcPr>
          <w:p ns1:paraId="6E5E2FAB">
            <w:pPr>
              <w:spacing w:before="0" w:after="0" w:line="240" w:lineRule="auto"/>
              <w:jc w:val="center"/>
            </w:pPr>
            <w:r>
              <w:rPr>
                <w:rFonts w:ascii="Noto Serif CJK SC" w:hAnsi="Noto Serif CJK SC" w:eastAsia="Noto Serif CJK SC"/>
                <w:b w:val="0"/>
                <w:sz w:val="16"/>
              </w:rPr>
              <w:t>形成文档级文本变量</w:t>
            </w:r>
          </w:p>
        </w:tc>
        <w:tc>
          <w:tcPr>
            <w:tcW w:w="2304" w:type="dxa"/>
            <w:tcMar>
              <w:top w:w="40" w:type="dxa"/>
              <w:left w:w="50" w:type="dxa"/>
              <w:bottom w:w="40" w:type="dxa"/>
              <w:right w:w="50" w:type="dxa"/>
            </w:tcMar>
            <w:vAlign w:val="center"/>
          </w:tcPr>
          <w:p ns1:paraId="49C15563">
            <w:pPr>
              <w:spacing w:before="0" w:after="0" w:line="240" w:lineRule="auto"/>
              <w:jc w:val="center"/>
            </w:pPr>
            <w:r>
              <w:rPr>
                <w:rFonts w:ascii="Noto Serif CJK SC" w:hAnsi="Noto Serif CJK SC" w:eastAsia="Noto Serif CJK SC"/>
                <w:b w:val="0"/>
                <w:sz w:val="16"/>
              </w:rPr>
              <w:t>第4章</w:t>
            </w:r>
          </w:p>
        </w:tc>
      </w:tr>
      <w:tr ns1:paraId="65795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04558EB3">
            <w:pPr>
              <w:spacing w:before="0" w:after="0" w:line="240" w:lineRule="auto"/>
              <w:jc w:val="center"/>
            </w:pPr>
            <w:r>
              <w:rPr>
                <w:rFonts w:ascii="Noto Serif CJK SC" w:hAnsi="Noto Serif CJK SC" w:eastAsia="Noto Serif CJK SC"/>
                <w:b w:val="0"/>
                <w:sz w:val="16"/>
              </w:rPr>
              <w:t>正式文本省—年口径</w:t>
            </w:r>
          </w:p>
        </w:tc>
        <w:tc>
          <w:tcPr>
            <w:tcW w:w="2016" w:type="dxa"/>
            <w:tcMar>
              <w:top w:w="40" w:type="dxa"/>
              <w:left w:w="50" w:type="dxa"/>
              <w:bottom w:w="40" w:type="dxa"/>
              <w:right w:w="50" w:type="dxa"/>
            </w:tcMar>
            <w:vAlign w:val="center"/>
          </w:tcPr>
          <w:p ns1:paraId="5CA67690">
            <w:pPr>
              <w:spacing w:before="0" w:after="0" w:line="240" w:lineRule="auto"/>
              <w:jc w:val="center"/>
            </w:pPr>
            <w:r>
              <w:rPr>
                <w:rFonts w:ascii="Noto Serif CJK SC" w:hAnsi="Noto Serif CJK SC" w:eastAsia="Noto Serif CJK SC"/>
                <w:b w:val="0"/>
                <w:sz w:val="16"/>
              </w:rPr>
              <w:t>288</w:t>
            </w:r>
          </w:p>
        </w:tc>
        <w:tc>
          <w:tcPr>
            <w:tcW w:w="3384" w:type="dxa"/>
            <w:tcMar>
              <w:top w:w="40" w:type="dxa"/>
              <w:left w:w="50" w:type="dxa"/>
              <w:bottom w:w="40" w:type="dxa"/>
              <w:right w:w="50" w:type="dxa"/>
            </w:tcMar>
            <w:vAlign w:val="center"/>
          </w:tcPr>
          <w:p ns1:paraId="7F467B79">
            <w:pPr>
              <w:spacing w:before="0" w:after="0" w:line="240" w:lineRule="auto"/>
              <w:jc w:val="center"/>
            </w:pPr>
            <w:r>
              <w:rPr>
                <w:rFonts w:ascii="Noto Serif CJK SC" w:hAnsi="Noto Serif CJK SC" w:eastAsia="Noto Serif CJK SC"/>
                <w:b w:val="0"/>
                <w:sz w:val="16"/>
              </w:rPr>
              <w:t>形成省—年可回归文本变量</w:t>
            </w:r>
          </w:p>
        </w:tc>
        <w:tc>
          <w:tcPr>
            <w:tcW w:w="2304" w:type="dxa"/>
            <w:tcMar>
              <w:top w:w="40" w:type="dxa"/>
              <w:left w:w="50" w:type="dxa"/>
              <w:bottom w:w="40" w:type="dxa"/>
              <w:right w:w="50" w:type="dxa"/>
            </w:tcMar>
            <w:vAlign w:val="center"/>
          </w:tcPr>
          <w:p ns1:paraId="308DE5C6">
            <w:pPr>
              <w:spacing w:before="0" w:after="0" w:line="240" w:lineRule="auto"/>
              <w:jc w:val="center"/>
            </w:pPr>
            <w:r>
              <w:rPr>
                <w:rFonts w:ascii="Noto Serif CJK SC" w:hAnsi="Noto Serif CJK SC" w:eastAsia="Noto Serif CJK SC"/>
                <w:b w:val="0"/>
                <w:sz w:val="16"/>
              </w:rPr>
              <w:t>第4—5章</w:t>
            </w:r>
          </w:p>
        </w:tc>
      </w:tr>
      <w:tr ns1:paraId="40B2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3059C136">
            <w:pPr>
              <w:spacing w:before="0" w:after="0" w:line="240" w:lineRule="auto"/>
              <w:jc w:val="center"/>
            </w:pPr>
            <w:r>
              <w:rPr>
                <w:rFonts w:ascii="Noto Serif CJK SC" w:hAnsi="Noto Serif CJK SC" w:eastAsia="Noto Serif CJK SC"/>
                <w:b w:val="0"/>
                <w:sz w:val="16"/>
              </w:rPr>
              <w:t>机器主题数</w:t>
            </w:r>
          </w:p>
        </w:tc>
        <w:tc>
          <w:tcPr>
            <w:tcW w:w="2016" w:type="dxa"/>
            <w:tcMar>
              <w:top w:w="40" w:type="dxa"/>
              <w:left w:w="50" w:type="dxa"/>
              <w:bottom w:w="40" w:type="dxa"/>
              <w:right w:w="50" w:type="dxa"/>
            </w:tcMar>
            <w:vAlign w:val="center"/>
          </w:tcPr>
          <w:p ns1:paraId="46F9C156">
            <w:pPr>
              <w:spacing w:before="0" w:after="0" w:line="240" w:lineRule="auto"/>
              <w:jc w:val="center"/>
            </w:pPr>
            <w:r>
              <w:rPr>
                <w:rFonts w:ascii="Noto Serif CJK SC" w:hAnsi="Noto Serif CJK SC" w:eastAsia="Noto Serif CJK SC"/>
                <w:b w:val="0"/>
                <w:sz w:val="16"/>
              </w:rPr>
              <w:t>24</w:t>
            </w:r>
          </w:p>
        </w:tc>
        <w:tc>
          <w:tcPr>
            <w:tcW w:w="3384" w:type="dxa"/>
            <w:tcMar>
              <w:top w:w="40" w:type="dxa"/>
              <w:left w:w="50" w:type="dxa"/>
              <w:bottom w:w="40" w:type="dxa"/>
              <w:right w:w="50" w:type="dxa"/>
            </w:tcMar>
            <w:vAlign w:val="center"/>
          </w:tcPr>
          <w:p ns1:paraId="5D0DB0F1">
            <w:pPr>
              <w:spacing w:before="0" w:after="0" w:line="240" w:lineRule="auto"/>
              <w:jc w:val="center"/>
            </w:pPr>
            <w:r>
              <w:rPr>
                <w:rFonts w:ascii="Noto Serif CJK SC" w:hAnsi="Noto Serif CJK SC" w:eastAsia="Noto Serif CJK SC"/>
                <w:b w:val="0"/>
                <w:sz w:val="16"/>
              </w:rPr>
              <w:t>BERTopic 前端主题发现</w:t>
            </w:r>
          </w:p>
        </w:tc>
        <w:tc>
          <w:tcPr>
            <w:tcW w:w="2304" w:type="dxa"/>
            <w:tcMar>
              <w:top w:w="40" w:type="dxa"/>
              <w:left w:w="50" w:type="dxa"/>
              <w:bottom w:w="40" w:type="dxa"/>
              <w:right w:w="50" w:type="dxa"/>
            </w:tcMar>
            <w:vAlign w:val="center"/>
          </w:tcPr>
          <w:p ns1:paraId="4616488F">
            <w:pPr>
              <w:spacing w:before="0" w:after="0" w:line="240" w:lineRule="auto"/>
              <w:jc w:val="center"/>
            </w:pPr>
            <w:r>
              <w:rPr>
                <w:rFonts w:ascii="Noto Serif CJK SC" w:hAnsi="Noto Serif CJK SC" w:eastAsia="Noto Serif CJK SC"/>
                <w:b w:val="0"/>
                <w:sz w:val="16"/>
              </w:rPr>
              <w:t>第3.4节</w:t>
            </w:r>
          </w:p>
        </w:tc>
      </w:tr>
      <w:tr ns1:paraId="11EE1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54DE2BDD">
            <w:pPr>
              <w:spacing w:before="0" w:after="0" w:line="240" w:lineRule="auto"/>
              <w:jc w:val="center"/>
            </w:pPr>
            <w:r>
              <w:rPr>
                <w:rFonts w:ascii="Noto Serif CJK SC" w:hAnsi="Noto Serif CJK SC" w:eastAsia="Noto Serif CJK SC"/>
                <w:b w:val="0"/>
                <w:sz w:val="16"/>
              </w:rPr>
              <w:t>当前最佳监督分类模型</w:t>
            </w:r>
          </w:p>
        </w:tc>
        <w:tc>
          <w:tcPr>
            <w:tcW w:w="2016" w:type="dxa"/>
            <w:tcMar>
              <w:top w:w="40" w:type="dxa"/>
              <w:left w:w="50" w:type="dxa"/>
              <w:bottom w:w="40" w:type="dxa"/>
              <w:right w:w="50" w:type="dxa"/>
            </w:tcMar>
            <w:vAlign w:val="center"/>
          </w:tcPr>
          <w:p ns1:paraId="676A3607">
            <w:pPr>
              <w:spacing w:before="0" w:after="0" w:line="240" w:lineRule="auto"/>
              <w:jc w:val="center"/>
            </w:pPr>
            <w:r>
              <w:rPr>
                <w:rFonts w:ascii="Noto Serif CJK SC" w:hAnsi="Noto Serif CJK SC" w:eastAsia="Noto Serif CJK SC"/>
                <w:b w:val="0"/>
                <w:sz w:val="16"/>
              </w:rPr>
              <w:t>LinearSVC</w:t>
            </w:r>
          </w:p>
        </w:tc>
        <w:tc>
          <w:tcPr>
            <w:tcW w:w="3384" w:type="dxa"/>
            <w:tcMar>
              <w:top w:w="40" w:type="dxa"/>
              <w:left w:w="50" w:type="dxa"/>
              <w:bottom w:w="40" w:type="dxa"/>
              <w:right w:w="50" w:type="dxa"/>
            </w:tcMar>
            <w:vAlign w:val="center"/>
          </w:tcPr>
          <w:p ns1:paraId="5FA3AADF">
            <w:pPr>
              <w:spacing w:before="0" w:after="0" w:line="240" w:lineRule="auto"/>
              <w:jc w:val="center"/>
            </w:pPr>
            <w:r>
              <w:rPr>
                <w:rFonts w:ascii="Noto Serif CJK SC" w:hAnsi="Noto Serif CJK SC" w:eastAsia="Noto Serif CJK SC"/>
                <w:b w:val="0"/>
                <w:sz w:val="16"/>
              </w:rPr>
              <w:t>自动编码可信度增强</w:t>
            </w:r>
          </w:p>
        </w:tc>
        <w:tc>
          <w:tcPr>
            <w:tcW w:w="2304" w:type="dxa"/>
            <w:tcMar>
              <w:top w:w="40" w:type="dxa"/>
              <w:left w:w="50" w:type="dxa"/>
              <w:bottom w:w="40" w:type="dxa"/>
              <w:right w:w="50" w:type="dxa"/>
            </w:tcMar>
            <w:vAlign w:val="center"/>
          </w:tcPr>
          <w:p ns1:paraId="0070B3B5">
            <w:pPr>
              <w:spacing w:before="0" w:after="0" w:line="240" w:lineRule="auto"/>
              <w:jc w:val="center"/>
            </w:pPr>
            <w:r>
              <w:rPr>
                <w:rFonts w:ascii="Noto Serif CJK SC" w:hAnsi="Noto Serif CJK SC" w:eastAsia="Noto Serif CJK SC"/>
                <w:b w:val="0"/>
                <w:sz w:val="16"/>
              </w:rPr>
              <w:t>第3.5节</w:t>
            </w:r>
          </w:p>
        </w:tc>
      </w:tr>
      <w:tr ns1:paraId="390A1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37C82660">
            <w:pPr>
              <w:spacing w:before="0" w:after="0" w:line="240" w:lineRule="auto"/>
              <w:jc w:val="center"/>
            </w:pPr>
            <w:r>
              <w:rPr>
                <w:rFonts w:ascii="Noto Serif CJK SC" w:hAnsi="Noto Serif CJK SC" w:eastAsia="Noto Serif CJK SC"/>
                <w:b w:val="0"/>
                <w:sz w:val="16"/>
              </w:rPr>
              <w:t>当前最佳模型 micro-F1</w:t>
            </w:r>
          </w:p>
        </w:tc>
        <w:tc>
          <w:tcPr>
            <w:tcW w:w="2016" w:type="dxa"/>
            <w:tcMar>
              <w:top w:w="40" w:type="dxa"/>
              <w:left w:w="50" w:type="dxa"/>
              <w:bottom w:w="40" w:type="dxa"/>
              <w:right w:w="50" w:type="dxa"/>
            </w:tcMar>
            <w:vAlign w:val="center"/>
          </w:tcPr>
          <w:p ns1:paraId="5C38AA60">
            <w:pPr>
              <w:spacing w:before="0" w:after="0" w:line="240" w:lineRule="auto"/>
              <w:jc w:val="center"/>
            </w:pPr>
            <w:r>
              <w:rPr>
                <w:rFonts w:ascii="Noto Serif CJK SC" w:hAnsi="Noto Serif CJK SC" w:eastAsia="Noto Serif CJK SC"/>
                <w:b w:val="0"/>
                <w:sz w:val="16"/>
              </w:rPr>
              <w:t>0.8638</w:t>
            </w:r>
          </w:p>
        </w:tc>
        <w:tc>
          <w:tcPr>
            <w:tcW w:w="3384" w:type="dxa"/>
            <w:tcMar>
              <w:top w:w="40" w:type="dxa"/>
              <w:left w:w="50" w:type="dxa"/>
              <w:bottom w:w="40" w:type="dxa"/>
              <w:right w:w="50" w:type="dxa"/>
            </w:tcMar>
            <w:vAlign w:val="center"/>
          </w:tcPr>
          <w:p ns1:paraId="19954719">
            <w:pPr>
              <w:spacing w:before="0" w:after="0" w:line="240" w:lineRule="auto"/>
              <w:jc w:val="center"/>
            </w:pPr>
            <w:r>
              <w:rPr>
                <w:rFonts w:ascii="Noto Serif CJK SC" w:hAnsi="Noto Serif CJK SC" w:eastAsia="Noto Serif CJK SC"/>
                <w:b w:val="0"/>
                <w:sz w:val="16"/>
              </w:rPr>
              <w:t>证明传统线性模型在当前样本下更稳</w:t>
            </w:r>
          </w:p>
        </w:tc>
        <w:tc>
          <w:tcPr>
            <w:tcW w:w="2304" w:type="dxa"/>
            <w:tcMar>
              <w:top w:w="40" w:type="dxa"/>
              <w:left w:w="50" w:type="dxa"/>
              <w:bottom w:w="40" w:type="dxa"/>
              <w:right w:w="50" w:type="dxa"/>
            </w:tcMar>
            <w:vAlign w:val="center"/>
          </w:tcPr>
          <w:p ns1:paraId="3525696C">
            <w:pPr>
              <w:spacing w:before="0" w:after="0" w:line="240" w:lineRule="auto"/>
              <w:jc w:val="center"/>
            </w:pPr>
            <w:r>
              <w:rPr>
                <w:rFonts w:ascii="Noto Serif CJK SC" w:hAnsi="Noto Serif CJK SC" w:eastAsia="Noto Serif CJK SC"/>
                <w:b w:val="0"/>
                <w:sz w:val="16"/>
              </w:rPr>
              <w:t>第3.5节</w:t>
            </w:r>
          </w:p>
        </w:tc>
      </w:tr>
      <w:tr ns1:paraId="58AC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Mar>
              <w:top w:w="40" w:type="dxa"/>
              <w:left w:w="50" w:type="dxa"/>
              <w:bottom w:w="40" w:type="dxa"/>
              <w:right w:w="50" w:type="dxa"/>
            </w:tcMar>
            <w:vAlign w:val="center"/>
          </w:tcPr>
          <w:p ns1:paraId="1771879D">
            <w:pPr>
              <w:spacing w:before="0" w:after="0" w:line="240" w:lineRule="auto"/>
              <w:jc w:val="center"/>
            </w:pPr>
            <w:r>
              <w:rPr>
                <w:rFonts w:ascii="Noto Serif CJK SC" w:hAnsi="Noto Serif CJK SC" w:eastAsia="Noto Serif CJK SC"/>
                <w:b w:val="0"/>
                <w:sz w:val="16"/>
              </w:rPr>
              <w:t>文本变量最终落地</w:t>
            </w:r>
          </w:p>
        </w:tc>
        <w:tc>
          <w:tcPr>
            <w:tcW w:w="2016" w:type="dxa"/>
            <w:tcMar>
              <w:top w:w="40" w:type="dxa"/>
              <w:left w:w="50" w:type="dxa"/>
              <w:bottom w:w="40" w:type="dxa"/>
              <w:right w:w="50" w:type="dxa"/>
            </w:tcMar>
            <w:vAlign w:val="center"/>
          </w:tcPr>
          <w:p ns1:paraId="3F467F2E">
            <w:pPr>
              <w:spacing w:before="0" w:after="0" w:line="240" w:lineRule="auto"/>
              <w:jc w:val="center"/>
            </w:pPr>
            <w:r>
              <w:rPr>
                <w:rFonts w:ascii="Noto Serif CJK SC" w:hAnsi="Noto Serif CJK SC" w:eastAsia="Noto Serif CJK SC"/>
                <w:b w:val="0"/>
                <w:sz w:val="16"/>
              </w:rPr>
              <w:t>A_idx、B_idx、C_idx、D_idx、topic shares</w:t>
            </w:r>
          </w:p>
        </w:tc>
        <w:tc>
          <w:tcPr>
            <w:tcW w:w="3384" w:type="dxa"/>
            <w:tcMar>
              <w:top w:w="40" w:type="dxa"/>
              <w:left w:w="50" w:type="dxa"/>
              <w:bottom w:w="40" w:type="dxa"/>
              <w:right w:w="50" w:type="dxa"/>
            </w:tcMar>
            <w:vAlign w:val="center"/>
          </w:tcPr>
          <w:p ns1:paraId="4B3EF868">
            <w:pPr>
              <w:spacing w:before="0" w:after="0" w:line="240" w:lineRule="auto"/>
              <w:jc w:val="center"/>
            </w:pPr>
            <w:r>
              <w:rPr>
                <w:rFonts w:ascii="Noto Serif CJK SC" w:hAnsi="Noto Serif CJK SC" w:eastAsia="Noto Serif CJK SC"/>
                <w:b w:val="0"/>
                <w:sz w:val="16"/>
              </w:rPr>
              <w:t>接入机制、稳健性和扩展分析</w:t>
            </w:r>
          </w:p>
        </w:tc>
        <w:tc>
          <w:tcPr>
            <w:tcW w:w="2304" w:type="dxa"/>
            <w:tcMar>
              <w:top w:w="40" w:type="dxa"/>
              <w:left w:w="50" w:type="dxa"/>
              <w:bottom w:w="40" w:type="dxa"/>
              <w:right w:w="50" w:type="dxa"/>
            </w:tcMar>
            <w:vAlign w:val="center"/>
          </w:tcPr>
          <w:p ns1:paraId="69DC7AB2">
            <w:pPr>
              <w:spacing w:before="0" w:after="0" w:line="240" w:lineRule="auto"/>
              <w:jc w:val="center"/>
            </w:pPr>
            <w:r>
              <w:rPr>
                <w:rFonts w:ascii="Noto Serif CJK SC" w:hAnsi="Noto Serif CJK SC" w:eastAsia="Noto Serif CJK SC"/>
                <w:b w:val="0"/>
                <w:sz w:val="16"/>
              </w:rPr>
              <w:t>第4、6、9章</w:t>
            </w:r>
          </w:p>
        </w:tc>
      </w:tr>
    </w:tbl>
    <w:p>
      <w:pPr>
        <w:jc w:val="both"/>
        <w:spacing w:before="0" w:after="0" w:line="420" w:lineRule="auto"/>
        <w:ind w:firstLine="420"/>
      </w:pPr>
      <w:r>
        <w:rPr>
          <w:rFonts w:ascii="Times New Roman" w:hAnsi="Times New Roman" w:eastAsia="宋体"/>
          <w:sz w:val="24"/>
          <w:szCs w:val="24"/>
        </w:rPr>
        <w: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p>
      <w:pPr>
        <w:jc w:val="both"/>
        <w:spacing w:before="0" w:after="0" w:line="420" w:lineRule="auto"/>
        <w:ind w:firstLine="420"/>
      </w:pPr>
      <w:r>
        <w:rPr>
          <w:rFonts w:ascii="Times New Roman" w:hAnsi="Times New Roman" w:eastAsia="宋体"/>
          <w:sz w:val="24"/>
          <w:szCs w:val="24"/>
        </w:rPr>
        <w:t>从公共管理角度看，这一结果的含义在于，PPP治理过程的改进首先依赖制度接口和程序环境的调整，而非所有治理环节同步升级；从证据边界看，表5支持的是部分机制和阶段性传导，而不是完整闭合的机制证明。</w:t>
      </w:r>
    </w:p>
    <w:p>
      <w:pPr>
        <w:jc w:val="left"/>
        <w:spacing w:before="120" w:after="60" w:line="420" w:lineRule="auto"/>
      </w:pPr>
      <w:r>
        <w:rPr>
          <w:rFonts w:ascii="Times New Roman" w:hAnsi="Times New Roman" w:eastAsia="宋体"/>
          <w:b/>
          <w:sz w:val="28"/>
          <w:szCs w:val="28"/>
        </w:rPr>
        <w:t>5.5 异质性分析</w:t>
      </w:r>
    </w:p>
    <w:p>
      <w:pPr>
        <w:jc w:val="both"/>
        <w:spacing w:before="0" w:after="0" w:line="420" w:lineRule="auto"/>
        <w:ind w:firstLine="420"/>
      </w:pPr>
      <w:r>
        <w:rPr>
          <w:rFonts w:ascii="Times New Roman" w:hAnsi="Times New Roman" w:eastAsia="宋体"/>
          <w:sz w:val="24"/>
          <w:szCs w:val="24"/>
        </w:rPr>
        <w:t>在主结果和机制线索之外，本文进一步考察改革效应是否在不同治理环境下存在差异。异质性分析的作用是补充适用边界，而不是生成第二主结论，因此其解释强度必须低于基准结果和机制分析。</w:t>
      </w:r>
    </w:p>
    <w:p>
      <w:pPr>
        <w:jc w:val="both"/>
        <w:spacing w:before="0" w:after="0" w:line="420" w:lineRule="auto"/>
        <w:ind w:firstLine="420"/>
      </w:pPr>
      <w:r>
        <w:rPr>
          <w:rFonts w:ascii="Times New Roman" w:hAnsi="Times New Roman" w:eastAsia="宋体"/>
          <w:sz w:val="24"/>
          <w:szCs w:val="24"/>
        </w:rPr>
        <w: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w:t>
      </w:r>
    </w:p>
    <w:p>
      <w:pPr>
        <w:jc w:val="center"/>
        <w:spacing w:before="0" w:after="0" w:line="420" w:lineRule="auto"/>
      </w:pPr>
      <w:r>
        <w:rPr>
          <w:rFonts w:ascii="Times New Roman" w:hAnsi="Times New Roman" w:eastAsia="宋体"/>
          <w:sz w:val="22"/>
          <w:szCs w:val="22"/>
        </w:rPr>
        <w:t>表6 异质性结果摘要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53"/>
        <w:gridCol w:w="3553"/>
        <w:gridCol w:w="3553"/>
      </w:tblGrid>
      <w:tr ns1:paraId="2CFC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40" w:type="dxa"/>
              <w:left w:w="50" w:type="dxa"/>
              <w:bottom w:w="40" w:type="dxa"/>
              <w:right w:w="50" w:type="dxa"/>
            </w:tcMar>
            <w:vAlign w:val="center"/>
          </w:tcPr>
          <w:p ns1:paraId="5F450F27">
            <w:pPr>
              <w:spacing w:before="0" w:after="0" w:line="240" w:lineRule="auto"/>
              <w:jc w:val="center"/>
            </w:pPr>
            <w:r>
              <w:rPr>
                <w:rFonts w:ascii="Noto Serif CJK SC" w:hAnsi="Noto Serif CJK SC" w:eastAsia="Noto Serif CJK SC"/>
                <w:b/>
                <w:sz w:val="16"/>
              </w:rPr>
              <w:t>步骤</w:t>
            </w:r>
          </w:p>
        </w:tc>
        <w:tc>
          <w:tcPr>
            <w:tcW w:w="5904" w:type="dxa"/>
            <w:tcMar>
              <w:top w:w="40" w:type="dxa"/>
              <w:left w:w="50" w:type="dxa"/>
              <w:bottom w:w="40" w:type="dxa"/>
              <w:right w:w="50" w:type="dxa"/>
            </w:tcMar>
            <w:vAlign w:val="center"/>
          </w:tcPr>
          <w:p ns1:paraId="60553287">
            <w:pPr>
              <w:spacing w:before="0" w:after="0" w:line="240" w:lineRule="auto"/>
              <w:jc w:val="center"/>
            </w:pPr>
            <w:r>
              <w:rPr>
                <w:rFonts w:ascii="Noto Serif CJK SC" w:hAnsi="Noto Serif CJK SC" w:eastAsia="Noto Serif CJK SC"/>
                <w:b/>
                <w:sz w:val="16"/>
              </w:rPr>
              <w:t>口径说明</w:t>
            </w:r>
          </w:p>
        </w:tc>
        <w:tc>
          <w:tcPr>
            <w:tcW w:w="1296" w:type="dxa"/>
            <w:tcMar>
              <w:top w:w="40" w:type="dxa"/>
              <w:left w:w="50" w:type="dxa"/>
              <w:bottom w:w="40" w:type="dxa"/>
              <w:right w:w="50" w:type="dxa"/>
            </w:tcMar>
            <w:vAlign w:val="center"/>
          </w:tcPr>
          <w:p ns1:paraId="1FBBBF7F">
            <w:pPr>
              <w:spacing w:before="0" w:after="0" w:line="240" w:lineRule="auto"/>
              <w:jc w:val="center"/>
            </w:pPr>
            <w:r>
              <w:rPr>
                <w:rFonts w:ascii="Noto Serif CJK SC" w:hAnsi="Noto Serif CJK SC" w:eastAsia="Noto Serif CJK SC"/>
                <w:b/>
                <w:sz w:val="16"/>
              </w:rPr>
              <w:t>观测数</w:t>
            </w:r>
          </w:p>
        </w:tc>
      </w:tr>
      <w:tr ns1:paraId="5C08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40" w:type="dxa"/>
              <w:left w:w="50" w:type="dxa"/>
              <w:bottom w:w="40" w:type="dxa"/>
              <w:right w:w="50" w:type="dxa"/>
            </w:tcMar>
            <w:vAlign w:val="center"/>
          </w:tcPr>
          <w:p ns1:paraId="5B68AEE4">
            <w:pPr>
              <w:spacing w:before="0" w:after="0" w:line="240" w:lineRule="auto"/>
              <w:jc w:val="center"/>
            </w:pPr>
            <w:r>
              <w:rPr>
                <w:rFonts w:ascii="Noto Serif CJK SC" w:hAnsi="Noto Serif CJK SC" w:eastAsia="Noto Serif CJK SC"/>
                <w:b w:val="0"/>
                <w:sz w:val="16"/>
              </w:rPr>
              <w:t>理论地区宇宙</w:t>
            </w:r>
          </w:p>
        </w:tc>
        <w:tc>
          <w:tcPr>
            <w:tcW w:w="5904" w:type="dxa"/>
            <w:tcMar>
              <w:top w:w="40" w:type="dxa"/>
              <w:left w:w="50" w:type="dxa"/>
              <w:bottom w:w="40" w:type="dxa"/>
              <w:right w:w="50" w:type="dxa"/>
            </w:tcMar>
            <w:vAlign w:val="center"/>
          </w:tcPr>
          <w:p ns1:paraId="5198CB63">
            <w:pPr>
              <w:spacing w:before="0" w:after="0" w:line="240" w:lineRule="auto"/>
              <w:jc w:val="center"/>
            </w:pPr>
            <w:r>
              <w:rPr>
                <w:rFonts w:ascii="Noto Serif CJK SC" w:hAnsi="Noto Serif CJK SC" w:eastAsia="Noto Serif CJK SC"/>
                <w:b w:val="0"/>
                <w:sz w:val="16"/>
              </w:rPr>
              <w:t>31省区市 + 新疆生产建设兵团，不含中央</w:t>
            </w:r>
          </w:p>
        </w:tc>
        <w:tc>
          <w:tcPr>
            <w:tcW w:w="1296" w:type="dxa"/>
            <w:tcMar>
              <w:top w:w="40" w:type="dxa"/>
              <w:left w:w="50" w:type="dxa"/>
              <w:bottom w:w="40" w:type="dxa"/>
              <w:right w:w="50" w:type="dxa"/>
            </w:tcMar>
            <w:vAlign w:val="center"/>
          </w:tcPr>
          <w:p ns1:paraId="6776D139">
            <w:pPr>
              <w:spacing w:before="0" w:after="0" w:line="240" w:lineRule="auto"/>
              <w:jc w:val="center"/>
            </w:pPr>
            <w:r>
              <w:rPr>
                <w:rFonts w:ascii="Noto Serif CJK SC" w:hAnsi="Noto Serif CJK SC" w:eastAsia="Noto Serif CJK SC"/>
                <w:b w:val="0"/>
                <w:sz w:val="16"/>
              </w:rPr>
              <w:t>288</w:t>
            </w:r>
          </w:p>
        </w:tc>
      </w:tr>
      <w:tr ns1:paraId="5EBF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40" w:type="dxa"/>
              <w:left w:w="50" w:type="dxa"/>
              <w:bottom w:w="40" w:type="dxa"/>
              <w:right w:w="50" w:type="dxa"/>
            </w:tcMar>
            <w:vAlign w:val="center"/>
          </w:tcPr>
          <w:p ns1:paraId="59CDB8C0">
            <w:pPr>
              <w:spacing w:before="0" w:after="0" w:line="240" w:lineRule="auto"/>
              <w:jc w:val="center"/>
            </w:pPr>
            <w:r>
              <w:rPr>
                <w:rFonts w:ascii="Noto Serif CJK SC" w:hAnsi="Noto Serif CJK SC" w:eastAsia="Noto Serif CJK SC"/>
                <w:b w:val="0"/>
                <w:sz w:val="16"/>
              </w:rPr>
              <w:t>V3主面板样本</w:t>
            </w:r>
          </w:p>
        </w:tc>
        <w:tc>
          <w:tcPr>
            <w:tcW w:w="5904" w:type="dxa"/>
            <w:tcMar>
              <w:top w:w="40" w:type="dxa"/>
              <w:left w:w="50" w:type="dxa"/>
              <w:bottom w:w="40" w:type="dxa"/>
              <w:right w:w="50" w:type="dxa"/>
            </w:tcMar>
            <w:vAlign w:val="center"/>
          </w:tcPr>
          <w:p ns1:paraId="08C380D7">
            <w:pPr>
              <w:spacing w:before="0" w:after="0" w:line="240" w:lineRule="auto"/>
              <w:jc w:val="center"/>
            </w:pPr>
            <w:r>
              <w:rPr>
                <w:rFonts w:ascii="Noto Serif CJK SC" w:hAnsi="Noto Serif CJK SC" w:eastAsia="Noto Serif CJK SC"/>
                <w:b w:val="0"/>
                <w:sz w:val="16"/>
              </w:rPr>
              <w:t>方案2正式主面板</w:t>
            </w:r>
          </w:p>
        </w:tc>
        <w:tc>
          <w:tcPr>
            <w:tcW w:w="1296" w:type="dxa"/>
            <w:tcMar>
              <w:top w:w="40" w:type="dxa"/>
              <w:left w:w="50" w:type="dxa"/>
              <w:bottom w:w="40" w:type="dxa"/>
              <w:right w:w="50" w:type="dxa"/>
            </w:tcMar>
            <w:vAlign w:val="center"/>
          </w:tcPr>
          <w:p ns1:paraId="06612B5F">
            <w:pPr>
              <w:spacing w:before="0" w:after="0" w:line="240" w:lineRule="auto"/>
              <w:jc w:val="center"/>
            </w:pPr>
            <w:r>
              <w:rPr>
                <w:rFonts w:ascii="Noto Serif CJK SC" w:hAnsi="Noto Serif CJK SC" w:eastAsia="Noto Serif CJK SC"/>
                <w:b w:val="0"/>
                <w:sz w:val="16"/>
              </w:rPr>
              <w:t>266</w:t>
            </w:r>
          </w:p>
        </w:tc>
      </w:tr>
      <w:tr ns1:paraId="1A5B0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Mar>
              <w:top w:w="40" w:type="dxa"/>
              <w:left w:w="50" w:type="dxa"/>
              <w:bottom w:w="40" w:type="dxa"/>
              <w:right w:w="50" w:type="dxa"/>
            </w:tcMar>
            <w:vAlign w:val="center"/>
          </w:tcPr>
          <w:p ns1:paraId="55B1B7C5">
            <w:pPr>
              <w:spacing w:before="0" w:after="0" w:line="240" w:lineRule="auto"/>
              <w:jc w:val="center"/>
            </w:pPr>
            <w:r>
              <w:rPr>
                <w:rFonts w:ascii="Noto Serif CJK SC" w:hAnsi="Noto Serif CJK SC" w:eastAsia="Noto Serif CJK SC"/>
                <w:b w:val="0"/>
                <w:sz w:val="16"/>
              </w:rPr>
              <w:t>5.3正式回归有效样本</w:t>
            </w:r>
          </w:p>
        </w:tc>
        <w:tc>
          <w:tcPr>
            <w:tcW w:w="5904" w:type="dxa"/>
            <w:tcMar>
              <w:top w:w="40" w:type="dxa"/>
              <w:left w:w="50" w:type="dxa"/>
              <w:bottom w:w="40" w:type="dxa"/>
              <w:right w:w="50" w:type="dxa"/>
            </w:tcMar>
            <w:vAlign w:val="center"/>
          </w:tcPr>
          <w:p ns1:paraId="758D9930">
            <w:pPr>
              <w:spacing w:before="0" w:after="0" w:line="240" w:lineRule="auto"/>
              <w:jc w:val="center"/>
            </w:pPr>
            <w:r>
              <w:rPr>
                <w:rFonts w:ascii="Noto Serif CJK SC" w:hAnsi="Noto Serif CJK SC" w:eastAsia="Noto Serif CJK SC"/>
                <w:b w:val="0"/>
                <w:sz w:val="16"/>
              </w:rPr>
              <w:t>控制变量非缺失后的正式估计样本</w:t>
            </w:r>
          </w:p>
        </w:tc>
        <w:tc>
          <w:tcPr>
            <w:tcW w:w="1296" w:type="dxa"/>
            <w:tcMar>
              <w:top w:w="40" w:type="dxa"/>
              <w:left w:w="50" w:type="dxa"/>
              <w:bottom w:w="40" w:type="dxa"/>
              <w:right w:w="50" w:type="dxa"/>
            </w:tcMar>
            <w:vAlign w:val="center"/>
          </w:tcPr>
          <w:p ns1:paraId="1951B3A2">
            <w:pPr>
              <w:spacing w:before="0" w:after="0" w:line="240" w:lineRule="auto"/>
              <w:jc w:val="center"/>
            </w:pPr>
            <w:r>
              <w:rPr>
                <w:rFonts w:ascii="Noto Serif CJK SC" w:hAnsi="Noto Serif CJK SC" w:eastAsia="Noto Serif CJK SC"/>
                <w:b w:val="0"/>
                <w:sz w:val="16"/>
              </w:rPr>
              <w:t>262</w:t>
            </w:r>
          </w:p>
        </w:tc>
      </w:tr>
    </w:tbl>
    <w:p>
      <w:pPr>
        <w:jc w:val="both"/>
        <w:spacing w:before="0" w:after="0" w:line="420" w:lineRule="auto"/>
        <w:ind w:firstLine="420"/>
      </w:pPr>
      <w:r>
        <w:rPr>
          <w:rFonts w:ascii="Times New Roman" w:hAnsi="Times New Roman" w:eastAsia="宋体"/>
          <w:sz w:val="24"/>
          <w:szCs w:val="24"/>
        </w:rP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p>
      <w:pPr>
        <w:jc w:val="left"/>
        <w:spacing w:before="120" w:after="60" w:line="420" w:lineRule="auto"/>
      </w:pPr>
      <w:r>
        <w:rPr>
          <w:rFonts w:ascii="Times New Roman" w:hAnsi="Times New Roman" w:eastAsia="宋体"/>
          <w:b/>
          <w:sz w:val="28"/>
          <w:szCs w:val="28"/>
        </w:rPr>
        <w:t>5.6 稳健性检验</w:t>
      </w:r>
    </w:p>
    <w:p>
      <w:pPr>
        <w:jc w:val="both"/>
        <w:spacing w:before="0" w:after="0" w:line="420" w:lineRule="auto"/>
        <w:ind w:firstLine="420"/>
      </w:pPr>
      <w:r>
        <w:rPr>
          <w:rFonts w:ascii="Times New Roman" w:hAnsi="Times New Roman" w:eastAsia="宋体"/>
          <w:sz w:val="24"/>
          <w:szCs w:val="24"/>
        </w:rPr>
        <w:t>在主结果与机制线索已经明确之后，还需要判断这些结果是否在其他规格、其他处理口径和更高维方法下保持稳定。稳健性部分的任务，不是把所有方法并列成新的主识别，而是回答一个更直接的问题：推进结构改善这一核心结论是否稳固，同时其识别边界是否被诚实保留下来。</w:t>
      </w:r>
    </w:p>
    <w:p>
      <w:pPr>
        <w:jc w:val="both"/>
        <w:spacing w:before="0" w:after="0" w:line="420" w:lineRule="auto"/>
        <w:ind w:firstLine="420"/>
      </w:pPr>
      <w:r>
        <w:rPr>
          <w:rFonts w:ascii="Times New Roman" w:hAnsi="Times New Roman" w:eastAsia="宋体"/>
          <w:sz w:val="24"/>
          <w:szCs w:val="24"/>
        </w:rPr>
        <w:t>表7汇总了核心稳健性检验结果，图4则以阶梯图方式压缩展示了不同检验层级下的证据结构。首先，在加入滞后控制、剔除边界年份和剔除特殊地区后，exec_share和proc_share的估计方向保持一致，且多数规格仍然显著，说明主结果并不依赖于单一时间窗口或特定样本。其次，在文本覆盖阈值限制下，执行阶段结果的统计精度有所下降，但系数方向并未反转，这表明文本覆盖差异主要影响估计精度，而没有根本改变推进结构结论。再次，DML结果在exec_share和proc_share上与主回归方向一致，虽未达到传统显著性水平，但至少没有给出相反结论。</w:t>
      </w:r>
    </w:p>
    <w:p>
      <w:pPr>
        <w:jc w:val="center"/>
        <w:spacing w:before="0" w:after="0" w:line="420" w:lineRule="auto"/>
      </w:pPr>
      <w:r>
        <w:rPr>
          <w:rFonts w:ascii="Times New Roman" w:hAnsi="Times New Roman" w:eastAsia="宋体"/>
          <w:sz w:val="22"/>
          <w:szCs w:val="22"/>
        </w:rPr>
        <w:t>表7 稳健性检验摘要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29"/>
        <w:gridCol w:w="5329"/>
      </w:tblGrid>
      <w:tr ns1:paraId="62EFB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768" w:type="dxa"/>
            <w:tcMar>
              <w:top w:w="40" w:type="dxa"/>
              <w:left w:w="50" w:type="dxa"/>
              <w:bottom w:w="40" w:type="dxa"/>
              <w:right w:w="50" w:type="dxa"/>
            </w:tcMar>
            <w:vAlign w:val="center"/>
          </w:tcPr>
          <w:p ns1:paraId="77813F57">
            <w:pPr>
              <w:spacing w:before="0" w:after="0" w:line="240" w:lineRule="auto"/>
              <w:jc w:val="center"/>
            </w:pPr>
            <w:r>
              <w:rPr>
                <w:rFonts w:ascii="Noto Serif CJK SC" w:hAnsi="Noto Serif CJK SC" w:eastAsia="Noto Serif CJK SC"/>
                <w:b/>
                <w:sz w:val="16"/>
              </w:rPr>
              <w:t>处理组类型</w:t>
            </w:r>
          </w:p>
        </w:tc>
        <w:tc>
          <w:tcPr>
            <w:tcW w:w="3024" w:type="dxa"/>
            <w:tcMar>
              <w:top w:w="40" w:type="dxa"/>
              <w:left w:w="50" w:type="dxa"/>
              <w:bottom w:w="40" w:type="dxa"/>
              <w:right w:w="50" w:type="dxa"/>
            </w:tcMar>
            <w:vAlign w:val="center"/>
          </w:tcPr>
          <w:p ns1:paraId="32CCD813">
            <w:pPr>
              <w:spacing w:before="0" w:after="0" w:line="240" w:lineRule="auto"/>
              <w:jc w:val="center"/>
            </w:pPr>
            <w:r>
              <w:rPr>
                <w:rFonts w:ascii="Noto Serif CJK SC" w:hAnsi="Noto Serif CJK SC" w:eastAsia="Noto Serif CJK SC"/>
                <w:b/>
                <w:sz w:val="16"/>
              </w:rPr>
              <w:t>数量/说明</w:t>
            </w:r>
          </w:p>
        </w:tc>
      </w:tr>
      <w:tr ns1:paraId="0D8CE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40" w:type="dxa"/>
              <w:left w:w="50" w:type="dxa"/>
              <w:bottom w:w="40" w:type="dxa"/>
              <w:right w:w="50" w:type="dxa"/>
            </w:tcMar>
            <w:vAlign w:val="center"/>
          </w:tcPr>
          <w:p ns1:paraId="55D1C9A6">
            <w:pPr>
              <w:spacing w:before="0" w:after="0" w:line="240" w:lineRule="auto"/>
              <w:jc w:val="center"/>
            </w:pPr>
            <w:r>
              <w:rPr>
                <w:rFonts w:ascii="Noto Serif CJK SC" w:hAnsi="Noto Serif CJK SC" w:eastAsia="Noto Serif CJK SC"/>
                <w:b w:val="0"/>
                <w:sz w:val="16"/>
              </w:rPr>
              <w:t>首个处理年份为2016年的省级单元</w:t>
            </w:r>
          </w:p>
        </w:tc>
        <w:tc>
          <w:tcPr>
            <w:tcW w:w="3024" w:type="dxa"/>
            <w:tcMar>
              <w:top w:w="40" w:type="dxa"/>
              <w:left w:w="50" w:type="dxa"/>
              <w:bottom w:w="40" w:type="dxa"/>
              <w:right w:w="50" w:type="dxa"/>
            </w:tcMar>
            <w:vAlign w:val="center"/>
          </w:tcPr>
          <w:p ns1:paraId="0CEFEB72">
            <w:pPr>
              <w:spacing w:before="0" w:after="0" w:line="240" w:lineRule="auto"/>
              <w:jc w:val="center"/>
            </w:pPr>
            <w:r>
              <w:rPr>
                <w:rFonts w:ascii="Noto Serif CJK SC" w:hAnsi="Noto Serif CJK SC" w:eastAsia="Noto Serif CJK SC"/>
                <w:b w:val="0"/>
                <w:sz w:val="16"/>
              </w:rPr>
              <w:t>28</w:t>
            </w:r>
          </w:p>
        </w:tc>
      </w:tr>
      <w:tr ns1:paraId="6CAA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40" w:type="dxa"/>
              <w:left w:w="50" w:type="dxa"/>
              <w:bottom w:w="40" w:type="dxa"/>
              <w:right w:w="50" w:type="dxa"/>
            </w:tcMar>
            <w:vAlign w:val="center"/>
          </w:tcPr>
          <w:p ns1:paraId="48A910C4">
            <w:pPr>
              <w:spacing w:before="0" w:after="0" w:line="240" w:lineRule="auto"/>
              <w:jc w:val="center"/>
            </w:pPr>
            <w:r>
              <w:rPr>
                <w:rFonts w:ascii="Noto Serif CJK SC" w:hAnsi="Noto Serif CJK SC" w:eastAsia="Noto Serif CJK SC"/>
                <w:b w:val="0"/>
                <w:sz w:val="16"/>
              </w:rPr>
              <w:t>首个处理年份为2017年的省级单元</w:t>
            </w:r>
          </w:p>
        </w:tc>
        <w:tc>
          <w:tcPr>
            <w:tcW w:w="3024" w:type="dxa"/>
            <w:tcMar>
              <w:top w:w="40" w:type="dxa"/>
              <w:left w:w="50" w:type="dxa"/>
              <w:bottom w:w="40" w:type="dxa"/>
              <w:right w:w="50" w:type="dxa"/>
            </w:tcMar>
            <w:vAlign w:val="center"/>
          </w:tcPr>
          <w:p ns1:paraId="6CC19CCA">
            <w:pPr>
              <w:spacing w:before="0" w:after="0" w:line="240" w:lineRule="auto"/>
              <w:jc w:val="center"/>
            </w:pPr>
            <w:r>
              <w:rPr>
                <w:rFonts w:ascii="Noto Serif CJK SC" w:hAnsi="Noto Serif CJK SC" w:eastAsia="Noto Serif CJK SC"/>
                <w:b w:val="0"/>
                <w:sz w:val="16"/>
              </w:rPr>
              <w:t>1</w:t>
            </w:r>
          </w:p>
        </w:tc>
      </w:tr>
      <w:tr ns1:paraId="3B86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68" w:type="dxa"/>
            <w:tcMar>
              <w:top w:w="40" w:type="dxa"/>
              <w:left w:w="50" w:type="dxa"/>
              <w:bottom w:w="40" w:type="dxa"/>
              <w:right w:w="50" w:type="dxa"/>
            </w:tcMar>
            <w:vAlign w:val="center"/>
          </w:tcPr>
          <w:p ns1:paraId="565F97DC">
            <w:pPr>
              <w:spacing w:before="0" w:after="0" w:line="240" w:lineRule="auto"/>
              <w:jc w:val="center"/>
            </w:pPr>
            <w:r>
              <w:rPr>
                <w:rFonts w:ascii="Noto Serif CJK SC" w:hAnsi="Noto Serif CJK SC" w:eastAsia="Noto Serif CJK SC"/>
                <w:b w:val="0"/>
                <w:sz w:val="16"/>
              </w:rPr>
              <w:t>never-treated 对照省级单元</w:t>
            </w:r>
          </w:p>
        </w:tc>
        <w:tc>
          <w:tcPr>
            <w:tcW w:w="3024" w:type="dxa"/>
            <w:tcMar>
              <w:top w:w="40" w:type="dxa"/>
              <w:left w:w="50" w:type="dxa"/>
              <w:bottom w:w="40" w:type="dxa"/>
              <w:right w:w="50" w:type="dxa"/>
            </w:tcMar>
            <w:vAlign w:val="center"/>
          </w:tcPr>
          <w:p ns1:paraId="79B1869A">
            <w:pPr>
              <w:spacing w:before="0" w:after="0" w:line="240" w:lineRule="auto"/>
              <w:jc w:val="center"/>
            </w:pPr>
            <w:r>
              <w:rPr>
                <w:rFonts w:ascii="Noto Serif CJK SC" w:hAnsi="Noto Serif CJK SC" w:eastAsia="Noto Serif CJK SC"/>
                <w:b w:val="0"/>
                <w:sz w:val="16"/>
              </w:rPr>
              <w:t>4</w:t>
            </w:r>
          </w:p>
        </w:tc>
      </w:tr>
    </w:tbl>
    <w:p>
      <w:pPr>
        <w:jc w:val="center"/>
        <w:spacing w:before="60" w:after="60" w:line="360" w:lineRule="auto"/>
      </w:pPr>
      <w:r>
        <w:drawing>
          <wp:inline distT="0" distB="0" distL="0" distR="0">
            <wp:extent cx="5669280" cy="3464560"/>
            <wp:docPr id="4" name="image4.png"/>
            <wp:cNvGraphicFramePr>
              <a:graphicFrameLocks noChangeAspect="1"/>
            </wp:cNvGraphicFramePr>
            <a:graphic>
              <a:graphicData uri="http://schemas.openxmlformats.org/drawingml/2006/picture">
                <pic:pic>
                  <pic:nvPicPr>
                    <pic:cNvPr id="0" name="image4.png"/>
                    <pic:cNvPicPr/>
                  </pic:nvPicPr>
                  <pic:blipFill>
                    <a:blip r:embed="rId5"/>
                    <a:stretch>
                      <a:fillRect/>
                    </a:stretch>
                  </pic:blipFill>
                  <pic:spPr>
                    <a:xfrm>
                      <a:off x="0" y="0"/>
                      <a:ext cx="5669280" cy="3464560"/>
                    </a:xfrm>
                    <a:prstGeom prst="rect">
                      <a:avLst/>
                    </a:prstGeom>
                  </pic:spPr>
                </pic:pic>
              </a:graphicData>
            </a:graphic>
          </wp:inline>
        </w:drawing>
      </w:r>
    </w:p>
    <w:p>
      <w:pPr>
        <w:jc w:val="center"/>
        <w:spacing w:before="0" w:after="0" w:line="420" w:lineRule="auto"/>
      </w:pPr>
      <w:r>
        <w:rPr>
          <w:rFonts w:ascii="Times New Roman" w:hAnsi="Times New Roman" w:eastAsia="宋体"/>
          <w:sz w:val="22"/>
          <w:szCs w:val="22"/>
        </w:rPr>
        <w:t>图4 主结果稳健性阶梯图</w:t>
      </w:r>
    </w:p>
    <w:p>
      <w:pPr>
        <w:jc w:val="both"/>
        <w:spacing w:before="0" w:after="0" w:line="420" w:lineRule="auto"/>
        <w:ind w:firstLine="420"/>
      </w:pPr>
      <w:r>
        <w:rPr>
          <w:rFonts w:ascii="Times New Roman" w:hAnsi="Times New Roman" w:eastAsia="宋体"/>
          <w:sz w:val="24"/>
          <w:szCs w:val="24"/>
        </w:rPr>
        <w:t>更值得强调的是，稳健性部分同样界定了清晰的识别边界。匹配样本DID中，exec_share和proc_share结果表现出明显敏感性，ppp_quality_zindex甚至转为显著负向，这说明PSM-DID在当前样本中更适合被视为敏感性诊断，而不应被用来强化主结论。工具变量可行性筛查中，最优候选变量的一阶段t值仅为1.5149，远未达到正式实施IV识别的要求，因此只能写成“已筛查但暂不实施”的识别边界说明，而非额外识别增强。综合而言，稳健性检验支持的不是“所有结果都更强”，而是“主结果稳，边界也明确”。</w:t>
      </w:r>
    </w:p>
    <w:p>
      <w:pPr>
        <w:jc w:val="both"/>
        <w:spacing w:before="0" w:after="0" w:line="420" w:lineRule="auto"/>
        <w:ind w:firstLine="420"/>
      </w:pPr>
      <w:r>
        <w:rPr>
          <w:rFonts w:ascii="Times New Roman" w:hAnsi="Times New Roman" w:eastAsia="宋体"/>
          <w:sz w:val="24"/>
          <w:szCs w:val="24"/>
        </w:rPr>
        <w:t>另需说明的是，现有正式状态表与说明性索引文件在部分稳健性结果是否统一按V3主面板重估的表述上存在轻微差异。为避免口径混写，本文在正文中将表4严格作为主结论的唯一数值锚点，而将表7限定为稳健性和边界说明证据，不把两者写成同一估计来源。</w:t>
      </w:r>
    </w:p>
    <w:p>
      <w:pPr>
        <w:jc w:val="both"/>
        <w:spacing w:before="0" w:after="0" w:line="420" w:lineRule="auto"/>
        <w:ind w:firstLine="420"/>
      </w:pPr>
      <w:r>
        <w:rPr>
          <w:rFonts w:ascii="Times New Roman" w:hAnsi="Times New Roman" w:eastAsia="宋体"/>
          <w:sz w:val="24"/>
          <w:szCs w:val="24"/>
        </w:rPr>
        <w:t>这部分对公共管理研究的含义在于：数字化改革改善PPP推进结构的经验结论具有相当稳固性，但研究者仍应诚实面对识别限制，特别是不将敏感结果、不可实施IV和方向一致但不显著的高维结果误写成更强证据。</w:t>
      </w:r>
    </w:p>
    <w:p>
      <w:pPr>
        <w:jc w:val="left"/>
        <w:spacing w:before="120" w:after="60" w:line="420" w:lineRule="auto"/>
      </w:pPr>
      <w:r>
        <w:rPr>
          <w:rFonts w:ascii="Times New Roman" w:hAnsi="Times New Roman" w:eastAsia="宋体"/>
          <w:b/>
          <w:sz w:val="28"/>
          <w:szCs w:val="28"/>
        </w:rPr>
        <w:t>5.7 项目级扩展分析：高低风险的辅助识别</w:t>
      </w:r>
    </w:p>
    <w:p>
      <w:pPr>
        <w:jc w:val="both"/>
        <w:spacing w:before="0" w:after="0" w:line="420" w:lineRule="auto"/>
        <w:ind w:firstLine="420"/>
      </w:pPr>
      <w:r>
        <w:rPr>
          <w:rFonts w:ascii="Times New Roman" w:hAnsi="Times New Roman" w:eastAsia="宋体"/>
          <w:sz w:val="24"/>
          <w:szCs w:val="24"/>
        </w:rPr>
        <w:t>在完成省级面板上的主识别之后，本文进一步讨论项目级高低风险识别问题。但这里必须首先说明：预测不等于因果，模型也不替代治理。第9部分的任务，只是检验在严格避免标签泄漏的前提下，文本与结构变量是否能够服务于高低风险项目的排序与识别；它不参与全文主识别，也不改写基于treat_share的面板结论。</w:t>
      </w:r>
    </w:p>
    <w:p>
      <w:pPr>
        <w:jc w:val="both"/>
        <w:spacing w:before="0" w:after="0" w:line="420" w:lineRule="auto"/>
        <w:ind w:firstLine="420"/>
      </w:pPr>
      <w:r>
        <w:rPr>
          <w:rFonts w:ascii="Times New Roman" w:hAnsi="Times New Roman" w:eastAsia="宋体"/>
          <w:sz w:val="24"/>
          <w:szCs w:val="24"/>
        </w:rPr>
        <w:t>表8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w:pPr>
        <w:jc w:val="center"/>
        <w:spacing w:before="0" w:after="0" w:line="420" w:lineRule="auto"/>
      </w:pPr>
      <w:r>
        <w:rPr>
          <w:rFonts w:ascii="Times New Roman" w:hAnsi="Times New Roman" w:eastAsia="宋体"/>
          <w:sz w:val="22"/>
          <w:szCs w:val="22"/>
        </w:rPr>
        <w:t>表8 项目级高低风险识别——六模型预测绩效比较</w:t>
      </w:r>
    </w:p>
    <w:tbl>
      <w:tblPr>
        <w:tblStyle w:val="33"/>
        <w:tblW w:w="1075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852"/>
        <w:gridCol w:w="780"/>
        <w:gridCol w:w="1459"/>
        <w:gridCol w:w="1459"/>
        <w:gridCol w:w="1285"/>
        <w:gridCol w:w="1459"/>
        <w:gridCol w:w="1460"/>
      </w:tblGrid>
      <w:tr ns1:paraId="361EA3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852" w:type="dxa"/>
            <w:tcBorders>
              <w:top w:val="single" w:color="auto" w:sz="12" w:space="0"/>
              <w:left w:val="nil"/>
              <w:bottom w:val="nil"/>
              <w:right w:val="nil"/>
            </w:tcBorders>
            <w:noWrap w:val="0"/>
            <w:tcMar>
              <w:top w:w="40" w:type="dxa"/>
              <w:left w:w="50" w:type="dxa"/>
              <w:bottom w:w="40" w:type="dxa"/>
              <w:right w:w="50" w:type="dxa"/>
            </w:tcMar>
            <w:vAlign w:val="center"/>
          </w:tcPr>
          <w:p ns1:paraId="1C6FACED">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变量</w:t>
            </w:r>
          </w:p>
        </w:tc>
        <w:tc>
          <w:tcPr>
            <w:tcW w:w="780" w:type="dxa"/>
            <w:tcBorders>
              <w:top w:val="single" w:color="auto" w:sz="12" w:space="0"/>
              <w:left w:val="nil"/>
              <w:bottom w:val="nil"/>
              <w:right w:val="nil"/>
            </w:tcBorders>
            <w:noWrap w:val="0"/>
            <w:tcMar>
              <w:top w:w="40" w:type="dxa"/>
              <w:left w:w="50" w:type="dxa"/>
              <w:bottom w:w="40" w:type="dxa"/>
              <w:right w:w="50" w:type="dxa"/>
            </w:tcMar>
            <w:vAlign w:val="center"/>
          </w:tcPr>
          <w:p ns1:paraId="6F7B718B">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N</w:t>
            </w:r>
          </w:p>
        </w:tc>
        <w:tc>
          <w:tcPr>
            <w:tcW w:w="1459" w:type="dxa"/>
            <w:tcBorders>
              <w:top w:val="single" w:color="auto" w:sz="12" w:space="0"/>
              <w:left w:val="nil"/>
              <w:bottom w:val="nil"/>
              <w:right w:val="nil"/>
            </w:tcBorders>
            <w:noWrap w:val="0"/>
            <w:tcMar>
              <w:top w:w="40" w:type="dxa"/>
              <w:left w:w="50" w:type="dxa"/>
              <w:bottom w:w="40" w:type="dxa"/>
              <w:right w:w="50" w:type="dxa"/>
            </w:tcMar>
            <w:vAlign w:val="center"/>
          </w:tcPr>
          <w:p ns1:paraId="44C15347">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均值</w:t>
            </w:r>
          </w:p>
        </w:tc>
        <w:tc>
          <w:tcPr>
            <w:tcW w:w="1459" w:type="dxa"/>
            <w:tcBorders>
              <w:top w:val="single" w:color="auto" w:sz="12" w:space="0"/>
              <w:left w:val="nil"/>
              <w:bottom w:val="nil"/>
              <w:right w:val="nil"/>
            </w:tcBorders>
            <w:noWrap w:val="0"/>
            <w:tcMar>
              <w:top w:w="40" w:type="dxa"/>
              <w:left w:w="50" w:type="dxa"/>
              <w:bottom w:w="40" w:type="dxa"/>
              <w:right w:w="50" w:type="dxa"/>
            </w:tcMar>
            <w:vAlign w:val="center"/>
          </w:tcPr>
          <w:p ns1:paraId="4F871299">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标准差</w:t>
            </w:r>
          </w:p>
        </w:tc>
        <w:tc>
          <w:tcPr>
            <w:tcW w:w="1285" w:type="dxa"/>
            <w:tcBorders>
              <w:top w:val="single" w:color="auto" w:sz="12" w:space="0"/>
              <w:left w:val="nil"/>
              <w:bottom w:val="nil"/>
              <w:right w:val="nil"/>
            </w:tcBorders>
            <w:noWrap w:val="0"/>
            <w:tcMar>
              <w:top w:w="40" w:type="dxa"/>
              <w:left w:w="50" w:type="dxa"/>
              <w:bottom w:w="40" w:type="dxa"/>
              <w:right w:w="50" w:type="dxa"/>
            </w:tcMar>
            <w:vAlign w:val="center"/>
          </w:tcPr>
          <w:p ns1:paraId="74C8AD81">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最小值</w:t>
            </w:r>
          </w:p>
        </w:tc>
        <w:tc>
          <w:tcPr>
            <w:tcW w:w="1459" w:type="dxa"/>
            <w:tcBorders>
              <w:top w:val="single" w:color="auto" w:sz="12" w:space="0"/>
              <w:left w:val="nil"/>
              <w:bottom w:val="nil"/>
              <w:right w:val="nil"/>
            </w:tcBorders>
            <w:noWrap w:val="0"/>
            <w:tcMar>
              <w:top w:w="40" w:type="dxa"/>
              <w:left w:w="50" w:type="dxa"/>
              <w:bottom w:w="40" w:type="dxa"/>
              <w:right w:w="50" w:type="dxa"/>
            </w:tcMar>
            <w:vAlign w:val="center"/>
          </w:tcPr>
          <w:p ns1:paraId="33BC994D">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中位数</w:t>
            </w:r>
          </w:p>
        </w:tc>
        <w:tc>
          <w:tcPr>
            <w:tcW w:w="1460" w:type="dxa"/>
            <w:tcBorders>
              <w:top w:val="single" w:color="auto" w:sz="12" w:space="0"/>
              <w:left w:val="nil"/>
              <w:bottom w:val="nil"/>
              <w:right w:val="nil"/>
            </w:tcBorders>
            <w:noWrap w:val="0"/>
            <w:tcMar>
              <w:top w:w="40" w:type="dxa"/>
              <w:left w:w="50" w:type="dxa"/>
              <w:bottom w:w="40" w:type="dxa"/>
              <w:right w:w="50" w:type="dxa"/>
            </w:tcMar>
            <w:vAlign w:val="center"/>
          </w:tcPr>
          <w:p ns1:paraId="7C0418D7">
            <w:pPr>
              <w:snapToGrid w:val="0"/>
              <w:spacing w:before="0" w:after="0" w:line="240" w:lineRule="auto"/>
              <w:ind w:left="0" w:leftChars="0" w:right="0" w:rightChars="0" w:firstLine="0" w:firstLineChars="0"/>
              <w:jc w:val="center"/>
              <w:rPr>
                <w:rFonts w:ascii="Noto Serif CJK SC" w:eastAsia="Noto Serif CJK SC"/>
                <w:b/>
                <w:sz w:val="16"/>
              </w:rPr>
            </w:pPr>
            <w:r>
              <w:rPr>
                <w:rFonts w:ascii="Noto Serif CJK SC" w:hAnsi="Noto Serif CJK SC" w:eastAsia="Noto Serif CJK SC"/>
                <w:b/>
                <w:sz w:val="16"/>
              </w:rPr>
              <w:t>最大值</w:t>
            </w:r>
          </w:p>
        </w:tc>
      </w:tr>
      <w:tr ns1:paraId="417598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single" w:color="auto" w:sz="4" w:space="0"/>
              <w:left w:val="nil"/>
              <w:bottom w:val="nil"/>
              <w:right w:val="nil"/>
            </w:tcBorders>
            <w:noWrap w:val="0"/>
            <w:tcMar>
              <w:top w:w="40" w:type="dxa"/>
              <w:left w:w="50" w:type="dxa"/>
              <w:bottom w:w="40" w:type="dxa"/>
              <w:right w:w="50" w:type="dxa"/>
            </w:tcMar>
            <w:vAlign w:val="center"/>
          </w:tcPr>
          <w:p ns1:paraId="7AE253E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exec_share</w:t>
            </w:r>
          </w:p>
        </w:tc>
        <w:tc>
          <w:tcPr>
            <w:tcW w:w="780" w:type="dxa"/>
            <w:tcBorders>
              <w:top w:val="single" w:color="auto" w:sz="4" w:space="0"/>
              <w:left w:val="nil"/>
              <w:bottom w:val="nil"/>
              <w:right w:val="nil"/>
            </w:tcBorders>
            <w:noWrap w:val="0"/>
            <w:tcMar>
              <w:top w:w="40" w:type="dxa"/>
              <w:left w:w="50" w:type="dxa"/>
              <w:bottom w:w="40" w:type="dxa"/>
              <w:right w:w="50" w:type="dxa"/>
            </w:tcMar>
            <w:vAlign w:val="center"/>
          </w:tcPr>
          <w:p ns1:paraId="7EB6D2D8">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single" w:color="auto" w:sz="4" w:space="0"/>
              <w:left w:val="nil"/>
              <w:bottom w:val="nil"/>
              <w:right w:val="nil"/>
            </w:tcBorders>
            <w:noWrap w:val="0"/>
            <w:tcMar>
              <w:top w:w="40" w:type="dxa"/>
              <w:left w:w="50" w:type="dxa"/>
              <w:bottom w:w="40" w:type="dxa"/>
              <w:right w:w="50" w:type="dxa"/>
            </w:tcMar>
            <w:vAlign w:val="center"/>
          </w:tcPr>
          <w:p ns1:paraId="31BD94B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0.7061</w:t>
            </w:r>
          </w:p>
        </w:tc>
        <w:tc>
          <w:tcPr>
            <w:tcW w:w="1459" w:type="dxa"/>
            <w:tcBorders>
              <w:top w:val="single" w:color="auto" w:sz="4" w:space="0"/>
              <w:left w:val="nil"/>
              <w:bottom w:val="nil"/>
              <w:right w:val="nil"/>
            </w:tcBorders>
            <w:noWrap w:val="0"/>
            <w:tcMar>
              <w:top w:w="40" w:type="dxa"/>
              <w:left w:w="50" w:type="dxa"/>
              <w:bottom w:w="40" w:type="dxa"/>
              <w:right w:w="50" w:type="dxa"/>
            </w:tcMar>
            <w:vAlign w:val="center"/>
          </w:tcPr>
          <w:p ns1:paraId="07C6A8C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0.3413</w:t>
            </w:r>
          </w:p>
        </w:tc>
        <w:tc>
          <w:tcPr>
            <w:tcW w:w="1285" w:type="dxa"/>
            <w:tcBorders>
              <w:top w:val="single" w:color="auto" w:sz="4" w:space="0"/>
              <w:left w:val="nil"/>
              <w:bottom w:val="nil"/>
              <w:right w:val="nil"/>
            </w:tcBorders>
            <w:noWrap w:val="0"/>
            <w:tcMar>
              <w:top w:w="40" w:type="dxa"/>
              <w:left w:w="50" w:type="dxa"/>
              <w:bottom w:w="40" w:type="dxa"/>
              <w:right w:w="50" w:type="dxa"/>
            </w:tcMar>
            <w:vAlign w:val="center"/>
          </w:tcPr>
          <w:p ns1:paraId="0ED550A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single" w:color="auto" w:sz="4" w:space="0"/>
              <w:left w:val="nil"/>
              <w:bottom w:val="nil"/>
              <w:right w:val="nil"/>
            </w:tcBorders>
            <w:noWrap w:val="0"/>
            <w:tcMar>
              <w:top w:w="40" w:type="dxa"/>
              <w:left w:w="50" w:type="dxa"/>
              <w:bottom w:w="40" w:type="dxa"/>
              <w:right w:w="50" w:type="dxa"/>
            </w:tcMar>
            <w:vAlign w:val="center"/>
          </w:tcPr>
          <w:p ns1:paraId="3822F5B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0.8659</w:t>
            </w:r>
          </w:p>
        </w:tc>
        <w:tc>
          <w:tcPr>
            <w:tcW w:w="1460" w:type="dxa"/>
            <w:tcBorders>
              <w:top w:val="single" w:color="auto" w:sz="4" w:space="0"/>
              <w:left w:val="nil"/>
              <w:bottom w:val="nil"/>
              <w:right w:val="nil"/>
            </w:tcBorders>
            <w:noWrap w:val="0"/>
            <w:tcMar>
              <w:top w:w="40" w:type="dxa"/>
              <w:left w:w="50" w:type="dxa"/>
              <w:bottom w:w="40" w:type="dxa"/>
              <w:right w:w="50" w:type="dxa"/>
            </w:tcMar>
            <w:vAlign w:val="center"/>
          </w:tcPr>
          <w:p ns1:paraId="3B7E306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r>
      <w:tr ns1:paraId="7E0A1E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4626F4D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proc_share</w:t>
            </w:r>
          </w:p>
        </w:tc>
        <w:tc>
          <w:tcPr>
            <w:tcW w:w="780" w:type="dxa"/>
            <w:tcBorders>
              <w:top w:val="nil"/>
              <w:left w:val="nil"/>
              <w:bottom w:val="nil"/>
              <w:right w:val="nil"/>
            </w:tcBorders>
            <w:noWrap w:val="0"/>
            <w:tcMar>
              <w:top w:w="40" w:type="dxa"/>
              <w:left w:w="50" w:type="dxa"/>
              <w:bottom w:w="40" w:type="dxa"/>
              <w:right w:w="50" w:type="dxa"/>
            </w:tcMar>
            <w:vAlign w:val="center"/>
          </w:tcPr>
          <w:p ns1:paraId="5F3DD543">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07FE385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0.2794</w:t>
            </w:r>
          </w:p>
        </w:tc>
        <w:tc>
          <w:tcPr>
            <w:tcW w:w="1459" w:type="dxa"/>
            <w:tcBorders>
              <w:top w:val="nil"/>
              <w:left w:val="nil"/>
              <w:bottom w:val="nil"/>
              <w:right w:val="nil"/>
            </w:tcBorders>
            <w:noWrap w:val="0"/>
            <w:tcMar>
              <w:top w:w="40" w:type="dxa"/>
              <w:left w:w="50" w:type="dxa"/>
              <w:bottom w:w="40" w:type="dxa"/>
              <w:right w:w="50" w:type="dxa"/>
            </w:tcMar>
            <w:vAlign w:val="center"/>
          </w:tcPr>
          <w:p ns1:paraId="4FAB068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0.3440</w:t>
            </w:r>
          </w:p>
        </w:tc>
        <w:tc>
          <w:tcPr>
            <w:tcW w:w="1285" w:type="dxa"/>
            <w:tcBorders>
              <w:top w:val="nil"/>
              <w:left w:val="nil"/>
              <w:bottom w:val="nil"/>
              <w:right w:val="nil"/>
            </w:tcBorders>
            <w:noWrap w:val="0"/>
            <w:tcMar>
              <w:top w:w="40" w:type="dxa"/>
              <w:left w:w="50" w:type="dxa"/>
              <w:bottom w:w="40" w:type="dxa"/>
              <w:right w:w="50" w:type="dxa"/>
            </w:tcMar>
            <w:vAlign w:val="center"/>
          </w:tcPr>
          <w:p ns1:paraId="3820789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617AB35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0.1118</w:t>
            </w:r>
          </w:p>
        </w:tc>
        <w:tc>
          <w:tcPr>
            <w:tcW w:w="1460" w:type="dxa"/>
            <w:tcBorders>
              <w:top w:val="nil"/>
              <w:left w:val="nil"/>
              <w:bottom w:val="nil"/>
              <w:right w:val="nil"/>
            </w:tcBorders>
            <w:noWrap w:val="0"/>
            <w:tcMar>
              <w:top w:w="40" w:type="dxa"/>
              <w:left w:w="50" w:type="dxa"/>
              <w:bottom w:w="40" w:type="dxa"/>
              <w:right w:w="50" w:type="dxa"/>
            </w:tcMar>
            <w:vAlign w:val="center"/>
          </w:tcPr>
          <w:p ns1:paraId="214EC0E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r>
      <w:tr ns1:paraId="74BB5E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5E28DC6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prep_share</w:t>
            </w:r>
          </w:p>
        </w:tc>
        <w:tc>
          <w:tcPr>
            <w:tcW w:w="780" w:type="dxa"/>
            <w:tcBorders>
              <w:top w:val="nil"/>
              <w:left w:val="nil"/>
              <w:bottom w:val="nil"/>
              <w:right w:val="nil"/>
            </w:tcBorders>
            <w:noWrap w:val="0"/>
            <w:tcMar>
              <w:top w:w="40" w:type="dxa"/>
              <w:left w:w="50" w:type="dxa"/>
              <w:bottom w:w="40" w:type="dxa"/>
              <w:right w:w="50" w:type="dxa"/>
            </w:tcMar>
            <w:vAlign w:val="center"/>
          </w:tcPr>
          <w:p ns1:paraId="7993E181">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6823F91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0.0145</w:t>
            </w:r>
          </w:p>
        </w:tc>
        <w:tc>
          <w:tcPr>
            <w:tcW w:w="1459" w:type="dxa"/>
            <w:tcBorders>
              <w:top w:val="nil"/>
              <w:left w:val="nil"/>
              <w:bottom w:val="nil"/>
              <w:right w:val="nil"/>
            </w:tcBorders>
            <w:noWrap w:val="0"/>
            <w:tcMar>
              <w:top w:w="40" w:type="dxa"/>
              <w:left w:w="50" w:type="dxa"/>
              <w:bottom w:w="40" w:type="dxa"/>
              <w:right w:w="50" w:type="dxa"/>
            </w:tcMar>
            <w:vAlign w:val="center"/>
          </w:tcPr>
          <w:p ns1:paraId="4064398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0.0386</w:t>
            </w:r>
          </w:p>
        </w:tc>
        <w:tc>
          <w:tcPr>
            <w:tcW w:w="1285" w:type="dxa"/>
            <w:tcBorders>
              <w:top w:val="nil"/>
              <w:left w:val="nil"/>
              <w:bottom w:val="nil"/>
              <w:right w:val="nil"/>
            </w:tcBorders>
            <w:noWrap w:val="0"/>
            <w:tcMar>
              <w:top w:w="40" w:type="dxa"/>
              <w:left w:w="50" w:type="dxa"/>
              <w:bottom w:w="40" w:type="dxa"/>
              <w:right w:w="50" w:type="dxa"/>
            </w:tcMar>
            <w:vAlign w:val="center"/>
          </w:tcPr>
          <w:p ns1:paraId="58A8E02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577A45F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60" w:type="dxa"/>
            <w:tcBorders>
              <w:top w:val="nil"/>
              <w:left w:val="nil"/>
              <w:bottom w:val="nil"/>
              <w:right w:val="nil"/>
            </w:tcBorders>
            <w:noWrap w:val="0"/>
            <w:tcMar>
              <w:top w:w="40" w:type="dxa"/>
              <w:left w:w="50" w:type="dxa"/>
              <w:bottom w:w="40" w:type="dxa"/>
              <w:right w:w="50" w:type="dxa"/>
            </w:tcMar>
            <w:vAlign w:val="center"/>
          </w:tcPr>
          <w:p ns1:paraId="0990453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0.3333</w:t>
            </w:r>
          </w:p>
        </w:tc>
      </w:tr>
      <w:tr ns1:paraId="6175AA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4EE6C41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ppp_quality_zindex</w:t>
            </w:r>
          </w:p>
        </w:tc>
        <w:tc>
          <w:tcPr>
            <w:tcW w:w="780" w:type="dxa"/>
            <w:tcBorders>
              <w:top w:val="nil"/>
              <w:left w:val="nil"/>
              <w:bottom w:val="nil"/>
              <w:right w:val="nil"/>
            </w:tcBorders>
            <w:noWrap w:val="0"/>
            <w:tcMar>
              <w:top w:w="40" w:type="dxa"/>
              <w:left w:w="50" w:type="dxa"/>
              <w:bottom w:w="40" w:type="dxa"/>
              <w:right w:w="50" w:type="dxa"/>
            </w:tcMar>
            <w:vAlign w:val="center"/>
          </w:tcPr>
          <w:p ns1:paraId="21687607">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7268BDC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0.0055</w:t>
            </w:r>
          </w:p>
        </w:tc>
        <w:tc>
          <w:tcPr>
            <w:tcW w:w="1459" w:type="dxa"/>
            <w:tcBorders>
              <w:top w:val="nil"/>
              <w:left w:val="nil"/>
              <w:bottom w:val="nil"/>
              <w:right w:val="nil"/>
            </w:tcBorders>
            <w:noWrap w:val="0"/>
            <w:tcMar>
              <w:top w:w="40" w:type="dxa"/>
              <w:left w:w="50" w:type="dxa"/>
              <w:bottom w:w="40" w:type="dxa"/>
              <w:right w:w="50" w:type="dxa"/>
            </w:tcMar>
            <w:vAlign w:val="center"/>
          </w:tcPr>
          <w:p ns1:paraId="5E11E09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0.4648</w:t>
            </w:r>
          </w:p>
        </w:tc>
        <w:tc>
          <w:tcPr>
            <w:tcW w:w="1285" w:type="dxa"/>
            <w:tcBorders>
              <w:top w:val="nil"/>
              <w:left w:val="nil"/>
              <w:bottom w:val="nil"/>
              <w:right w:val="nil"/>
            </w:tcBorders>
            <w:noWrap w:val="0"/>
            <w:tcMar>
              <w:top w:w="40" w:type="dxa"/>
              <w:left w:w="50" w:type="dxa"/>
              <w:bottom w:w="40" w:type="dxa"/>
              <w:right w:w="50" w:type="dxa"/>
            </w:tcMar>
            <w:vAlign w:val="center"/>
          </w:tcPr>
          <w:p ns1:paraId="14F1FB5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-2.8557</w:t>
            </w:r>
          </w:p>
        </w:tc>
        <w:tc>
          <w:tcPr>
            <w:tcW w:w="1459" w:type="dxa"/>
            <w:tcBorders>
              <w:top w:val="nil"/>
              <w:left w:val="nil"/>
              <w:bottom w:val="nil"/>
              <w:right w:val="nil"/>
            </w:tcBorders>
            <w:noWrap w:val="0"/>
            <w:tcMar>
              <w:top w:w="40" w:type="dxa"/>
              <w:left w:w="50" w:type="dxa"/>
              <w:bottom w:w="40" w:type="dxa"/>
              <w:right w:w="50" w:type="dxa"/>
            </w:tcMar>
            <w:vAlign w:val="center"/>
          </w:tcPr>
          <w:p ns1:paraId="52C6CFC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0.1820</w:t>
            </w:r>
          </w:p>
        </w:tc>
        <w:tc>
          <w:tcPr>
            <w:tcW w:w="1460" w:type="dxa"/>
            <w:tcBorders>
              <w:top w:val="nil"/>
              <w:left w:val="nil"/>
              <w:bottom w:val="nil"/>
              <w:right w:val="nil"/>
            </w:tcBorders>
            <w:noWrap w:val="0"/>
            <w:tcMar>
              <w:top w:w="40" w:type="dxa"/>
              <w:left w:w="50" w:type="dxa"/>
              <w:bottom w:w="40" w:type="dxa"/>
              <w:right w:w="50" w:type="dxa"/>
            </w:tcMar>
            <w:vAlign w:val="center"/>
          </w:tcPr>
          <w:p ns1:paraId="543351DA">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0.4246</w:t>
            </w:r>
          </w:p>
        </w:tc>
      </w:tr>
      <w:tr ns1:paraId="740444A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32688A5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vfm_pass_rate</w:t>
            </w:r>
          </w:p>
        </w:tc>
        <w:tc>
          <w:tcPr>
            <w:tcW w:w="780" w:type="dxa"/>
            <w:tcBorders>
              <w:top w:val="nil"/>
              <w:left w:val="nil"/>
              <w:bottom w:val="nil"/>
              <w:right w:val="nil"/>
            </w:tcBorders>
            <w:noWrap w:val="0"/>
            <w:tcMar>
              <w:top w:w="40" w:type="dxa"/>
              <w:left w:w="50" w:type="dxa"/>
              <w:bottom w:w="40" w:type="dxa"/>
              <w:right w:w="50" w:type="dxa"/>
            </w:tcMar>
            <w:vAlign w:val="center"/>
          </w:tcPr>
          <w:p ns1:paraId="7298D60F">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56BED8B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0.9452</w:t>
            </w:r>
          </w:p>
        </w:tc>
        <w:tc>
          <w:tcPr>
            <w:tcW w:w="1459" w:type="dxa"/>
            <w:tcBorders>
              <w:top w:val="nil"/>
              <w:left w:val="nil"/>
              <w:bottom w:val="nil"/>
              <w:right w:val="nil"/>
            </w:tcBorders>
            <w:noWrap w:val="0"/>
            <w:tcMar>
              <w:top w:w="40" w:type="dxa"/>
              <w:left w:w="50" w:type="dxa"/>
              <w:bottom w:w="40" w:type="dxa"/>
              <w:right w:w="50" w:type="dxa"/>
            </w:tcMar>
            <w:vAlign w:val="center"/>
          </w:tcPr>
          <w:p ns1:paraId="2C435FB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0.1511</w:t>
            </w:r>
          </w:p>
        </w:tc>
        <w:tc>
          <w:tcPr>
            <w:tcW w:w="1285" w:type="dxa"/>
            <w:tcBorders>
              <w:top w:val="nil"/>
              <w:left w:val="nil"/>
              <w:bottom w:val="nil"/>
              <w:right w:val="nil"/>
            </w:tcBorders>
            <w:noWrap w:val="0"/>
            <w:tcMar>
              <w:top w:w="40" w:type="dxa"/>
              <w:left w:w="50" w:type="dxa"/>
              <w:bottom w:w="40" w:type="dxa"/>
              <w:right w:w="50" w:type="dxa"/>
            </w:tcMar>
            <w:vAlign w:val="center"/>
          </w:tcPr>
          <w:p ns1:paraId="7657FD8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3636094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c>
          <w:tcPr>
            <w:tcW w:w="1460" w:type="dxa"/>
            <w:tcBorders>
              <w:top w:val="nil"/>
              <w:left w:val="nil"/>
              <w:bottom w:val="nil"/>
              <w:right w:val="nil"/>
            </w:tcBorders>
            <w:noWrap w:val="0"/>
            <w:tcMar>
              <w:top w:w="40" w:type="dxa"/>
              <w:left w:w="50" w:type="dxa"/>
              <w:bottom w:w="40" w:type="dxa"/>
              <w:right w:w="50" w:type="dxa"/>
            </w:tcMar>
            <w:vAlign w:val="center"/>
          </w:tcPr>
          <w:p ns1:paraId="340CE8D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r>
      <w:tr ns1:paraId="2C403F7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758B2BF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fiscal_pass_rate</w:t>
            </w:r>
          </w:p>
        </w:tc>
        <w:tc>
          <w:tcPr>
            <w:tcW w:w="780" w:type="dxa"/>
            <w:tcBorders>
              <w:top w:val="nil"/>
              <w:left w:val="nil"/>
              <w:bottom w:val="nil"/>
              <w:right w:val="nil"/>
            </w:tcBorders>
            <w:noWrap w:val="0"/>
            <w:tcMar>
              <w:top w:w="40" w:type="dxa"/>
              <w:left w:w="50" w:type="dxa"/>
              <w:bottom w:w="40" w:type="dxa"/>
              <w:right w:w="50" w:type="dxa"/>
            </w:tcMar>
            <w:vAlign w:val="center"/>
          </w:tcPr>
          <w:p ns1:paraId="42F45A8E">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17659B0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0.9286</w:t>
            </w:r>
          </w:p>
        </w:tc>
        <w:tc>
          <w:tcPr>
            <w:tcW w:w="1459" w:type="dxa"/>
            <w:tcBorders>
              <w:top w:val="nil"/>
              <w:left w:val="nil"/>
              <w:bottom w:val="nil"/>
              <w:right w:val="nil"/>
            </w:tcBorders>
            <w:noWrap w:val="0"/>
            <w:tcMar>
              <w:top w:w="40" w:type="dxa"/>
              <w:left w:w="50" w:type="dxa"/>
              <w:bottom w:w="40" w:type="dxa"/>
              <w:right w:w="50" w:type="dxa"/>
            </w:tcMar>
            <w:vAlign w:val="center"/>
          </w:tcPr>
          <w:p ns1:paraId="220C7B0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0.1890</w:t>
            </w:r>
          </w:p>
        </w:tc>
        <w:tc>
          <w:tcPr>
            <w:tcW w:w="1285" w:type="dxa"/>
            <w:tcBorders>
              <w:top w:val="nil"/>
              <w:left w:val="nil"/>
              <w:bottom w:val="nil"/>
              <w:right w:val="nil"/>
            </w:tcBorders>
            <w:noWrap w:val="0"/>
            <w:tcMar>
              <w:top w:w="40" w:type="dxa"/>
              <w:left w:w="50" w:type="dxa"/>
              <w:bottom w:w="40" w:type="dxa"/>
              <w:right w:w="50" w:type="dxa"/>
            </w:tcMar>
            <w:vAlign w:val="center"/>
          </w:tcPr>
          <w:p ns1:paraId="34ACF5D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6391F0D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c>
          <w:tcPr>
            <w:tcW w:w="1460" w:type="dxa"/>
            <w:tcBorders>
              <w:top w:val="nil"/>
              <w:left w:val="nil"/>
              <w:bottom w:val="nil"/>
              <w:right w:val="nil"/>
            </w:tcBorders>
            <w:noWrap w:val="0"/>
            <w:tcMar>
              <w:top w:w="40" w:type="dxa"/>
              <w:left w:w="50" w:type="dxa"/>
              <w:bottom w:w="40" w:type="dxa"/>
              <w:right w:w="50" w:type="dxa"/>
            </w:tcMar>
            <w:vAlign w:val="center"/>
          </w:tcPr>
          <w:p ns1:paraId="60245B4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r>
      <w:tr ns1:paraId="045BB7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13D6AF1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treat_share</w:t>
            </w:r>
          </w:p>
        </w:tc>
        <w:tc>
          <w:tcPr>
            <w:tcW w:w="780" w:type="dxa"/>
            <w:tcBorders>
              <w:top w:val="nil"/>
              <w:left w:val="nil"/>
              <w:bottom w:val="nil"/>
              <w:right w:val="nil"/>
            </w:tcBorders>
            <w:noWrap w:val="0"/>
            <w:tcMar>
              <w:top w:w="40" w:type="dxa"/>
              <w:left w:w="50" w:type="dxa"/>
              <w:bottom w:w="40" w:type="dxa"/>
              <w:right w:w="50" w:type="dxa"/>
            </w:tcMar>
            <w:vAlign w:val="center"/>
          </w:tcPr>
          <w:p ns1:paraId="55286404">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17DFE36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0.3008</w:t>
            </w:r>
          </w:p>
        </w:tc>
        <w:tc>
          <w:tcPr>
            <w:tcW w:w="1459" w:type="dxa"/>
            <w:tcBorders>
              <w:top w:val="nil"/>
              <w:left w:val="nil"/>
              <w:bottom w:val="nil"/>
              <w:right w:val="nil"/>
            </w:tcBorders>
            <w:noWrap w:val="0"/>
            <w:tcMar>
              <w:top w:w="40" w:type="dxa"/>
              <w:left w:w="50" w:type="dxa"/>
              <w:bottom w:w="40" w:type="dxa"/>
              <w:right w:w="50" w:type="dxa"/>
            </w:tcMar>
            <w:vAlign w:val="center"/>
          </w:tcPr>
          <w:p ns1:paraId="4B63447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0.2793</w:t>
            </w:r>
          </w:p>
        </w:tc>
        <w:tc>
          <w:tcPr>
            <w:tcW w:w="1285" w:type="dxa"/>
            <w:tcBorders>
              <w:top w:val="nil"/>
              <w:left w:val="nil"/>
              <w:bottom w:val="nil"/>
              <w:right w:val="nil"/>
            </w:tcBorders>
            <w:noWrap w:val="0"/>
            <w:tcMar>
              <w:top w:w="40" w:type="dxa"/>
              <w:left w:w="50" w:type="dxa"/>
              <w:bottom w:w="40" w:type="dxa"/>
              <w:right w:w="50" w:type="dxa"/>
            </w:tcMar>
            <w:vAlign w:val="center"/>
          </w:tcPr>
          <w:p ns1:paraId="4288BE9A">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6830A0B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0.2143</w:t>
            </w:r>
          </w:p>
        </w:tc>
        <w:tc>
          <w:tcPr>
            <w:tcW w:w="1460" w:type="dxa"/>
            <w:tcBorders>
              <w:top w:val="nil"/>
              <w:left w:val="nil"/>
              <w:bottom w:val="nil"/>
              <w:right w:val="nil"/>
            </w:tcBorders>
            <w:noWrap w:val="0"/>
            <w:tcMar>
              <w:top w:w="40" w:type="dxa"/>
              <w:left w:w="50" w:type="dxa"/>
              <w:bottom w:w="40" w:type="dxa"/>
              <w:right w:w="50" w:type="dxa"/>
            </w:tcMar>
            <w:vAlign w:val="center"/>
          </w:tcPr>
          <w:p ns1:paraId="53982A2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1.0000</w:t>
            </w:r>
          </w:p>
        </w:tc>
      </w:tr>
      <w:tr ns1:paraId="62EC3AD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7A787A9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A_idx</w:t>
            </w:r>
          </w:p>
        </w:tc>
        <w:tc>
          <w:tcPr>
            <w:tcW w:w="780" w:type="dxa"/>
            <w:tcBorders>
              <w:top w:val="nil"/>
              <w:left w:val="nil"/>
              <w:bottom w:val="nil"/>
              <w:right w:val="nil"/>
            </w:tcBorders>
            <w:noWrap w:val="0"/>
            <w:tcMar>
              <w:top w:w="40" w:type="dxa"/>
              <w:left w:w="50" w:type="dxa"/>
              <w:bottom w:w="40" w:type="dxa"/>
              <w:right w:w="50" w:type="dxa"/>
            </w:tcMar>
            <w:vAlign w:val="center"/>
          </w:tcPr>
          <w:p ns1:paraId="162DAD86">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2C6FBEA9">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27.5498</w:t>
            </w:r>
          </w:p>
        </w:tc>
        <w:tc>
          <w:tcPr>
            <w:tcW w:w="1459" w:type="dxa"/>
            <w:tcBorders>
              <w:top w:val="nil"/>
              <w:left w:val="nil"/>
              <w:bottom w:val="nil"/>
              <w:right w:val="nil"/>
            </w:tcBorders>
            <w:noWrap w:val="0"/>
            <w:tcMar>
              <w:top w:w="40" w:type="dxa"/>
              <w:left w:w="50" w:type="dxa"/>
              <w:bottom w:w="40" w:type="dxa"/>
              <w:right w:w="50" w:type="dxa"/>
            </w:tcMar>
            <w:vAlign w:val="center"/>
          </w:tcPr>
          <w:p ns1:paraId="136E6CB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53.1080</w:t>
            </w:r>
          </w:p>
        </w:tc>
        <w:tc>
          <w:tcPr>
            <w:tcW w:w="1285" w:type="dxa"/>
            <w:tcBorders>
              <w:top w:val="nil"/>
              <w:left w:val="nil"/>
              <w:bottom w:val="nil"/>
              <w:right w:val="nil"/>
            </w:tcBorders>
            <w:noWrap w:val="0"/>
            <w:tcMar>
              <w:top w:w="40" w:type="dxa"/>
              <w:left w:w="50" w:type="dxa"/>
              <w:bottom w:w="40" w:type="dxa"/>
              <w:right w:w="50" w:type="dxa"/>
            </w:tcMar>
            <w:vAlign w:val="center"/>
          </w:tcPr>
          <w:p ns1:paraId="16FB40B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28A793E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21.7453</w:t>
            </w:r>
          </w:p>
        </w:tc>
        <w:tc>
          <w:tcPr>
            <w:tcW w:w="1460" w:type="dxa"/>
            <w:tcBorders>
              <w:top w:val="nil"/>
              <w:left w:val="nil"/>
              <w:bottom w:val="nil"/>
              <w:right w:val="nil"/>
            </w:tcBorders>
            <w:noWrap w:val="0"/>
            <w:tcMar>
              <w:top w:w="40" w:type="dxa"/>
              <w:left w:w="50" w:type="dxa"/>
              <w:bottom w:w="40" w:type="dxa"/>
              <w:right w:w="50" w:type="dxa"/>
            </w:tcMar>
            <w:vAlign w:val="center"/>
          </w:tcPr>
          <w:p ns1:paraId="20CACFE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505.6180</w:t>
            </w:r>
          </w:p>
        </w:tc>
      </w:tr>
      <w:tr ns1:paraId="30B8DE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7883039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B_idx</w:t>
            </w:r>
          </w:p>
        </w:tc>
        <w:tc>
          <w:tcPr>
            <w:tcW w:w="780" w:type="dxa"/>
            <w:tcBorders>
              <w:top w:val="nil"/>
              <w:left w:val="nil"/>
              <w:bottom w:val="nil"/>
              <w:right w:val="nil"/>
            </w:tcBorders>
            <w:noWrap w:val="0"/>
            <w:tcMar>
              <w:top w:w="40" w:type="dxa"/>
              <w:left w:w="50" w:type="dxa"/>
              <w:bottom w:w="40" w:type="dxa"/>
              <w:right w:w="50" w:type="dxa"/>
            </w:tcMar>
            <w:vAlign w:val="center"/>
          </w:tcPr>
          <w:p ns1:paraId="3CE32B98">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1FED84D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52.2510</w:t>
            </w:r>
          </w:p>
        </w:tc>
        <w:tc>
          <w:tcPr>
            <w:tcW w:w="1459" w:type="dxa"/>
            <w:tcBorders>
              <w:top w:val="nil"/>
              <w:left w:val="nil"/>
              <w:bottom w:val="nil"/>
              <w:right w:val="nil"/>
            </w:tcBorders>
            <w:noWrap w:val="0"/>
            <w:tcMar>
              <w:top w:w="40" w:type="dxa"/>
              <w:left w:w="50" w:type="dxa"/>
              <w:bottom w:w="40" w:type="dxa"/>
              <w:right w:w="50" w:type="dxa"/>
            </w:tcMar>
            <w:vAlign w:val="center"/>
          </w:tcPr>
          <w:p ns1:paraId="7DED72E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53.6970</w:t>
            </w:r>
          </w:p>
        </w:tc>
        <w:tc>
          <w:tcPr>
            <w:tcW w:w="1285" w:type="dxa"/>
            <w:tcBorders>
              <w:top w:val="nil"/>
              <w:left w:val="nil"/>
              <w:bottom w:val="nil"/>
              <w:right w:val="nil"/>
            </w:tcBorders>
            <w:noWrap w:val="0"/>
            <w:tcMar>
              <w:top w:w="40" w:type="dxa"/>
              <w:left w:w="50" w:type="dxa"/>
              <w:bottom w:w="40" w:type="dxa"/>
              <w:right w:w="50" w:type="dxa"/>
            </w:tcMar>
            <w:vAlign w:val="center"/>
          </w:tcPr>
          <w:p ns1:paraId="1E3C3D7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1C5A14D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49.1746</w:t>
            </w:r>
          </w:p>
        </w:tc>
        <w:tc>
          <w:tcPr>
            <w:tcW w:w="1460" w:type="dxa"/>
            <w:tcBorders>
              <w:top w:val="nil"/>
              <w:left w:val="nil"/>
              <w:bottom w:val="nil"/>
              <w:right w:val="nil"/>
            </w:tcBorders>
            <w:noWrap w:val="0"/>
            <w:tcMar>
              <w:top w:w="40" w:type="dxa"/>
              <w:left w:w="50" w:type="dxa"/>
              <w:bottom w:w="40" w:type="dxa"/>
              <w:right w:w="50" w:type="dxa"/>
            </w:tcMar>
            <w:vAlign w:val="center"/>
          </w:tcPr>
          <w:p ns1:paraId="6350CF2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363.2887</w:t>
            </w:r>
          </w:p>
        </w:tc>
      </w:tr>
      <w:tr ns1:paraId="1E2FFD9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520E339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C_idx</w:t>
            </w:r>
          </w:p>
        </w:tc>
        <w:tc>
          <w:tcPr>
            <w:tcW w:w="780" w:type="dxa"/>
            <w:tcBorders>
              <w:top w:val="nil"/>
              <w:left w:val="nil"/>
              <w:bottom w:val="nil"/>
              <w:right w:val="nil"/>
            </w:tcBorders>
            <w:noWrap w:val="0"/>
            <w:tcMar>
              <w:top w:w="40" w:type="dxa"/>
              <w:left w:w="50" w:type="dxa"/>
              <w:bottom w:w="40" w:type="dxa"/>
              <w:right w:w="50" w:type="dxa"/>
            </w:tcMar>
            <w:vAlign w:val="center"/>
          </w:tcPr>
          <w:p ns1:paraId="1234046B">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0D24927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143.9109</w:t>
            </w:r>
          </w:p>
        </w:tc>
        <w:tc>
          <w:tcPr>
            <w:tcW w:w="1459" w:type="dxa"/>
            <w:tcBorders>
              <w:top w:val="nil"/>
              <w:left w:val="nil"/>
              <w:bottom w:val="nil"/>
              <w:right w:val="nil"/>
            </w:tcBorders>
            <w:noWrap w:val="0"/>
            <w:tcMar>
              <w:top w:w="40" w:type="dxa"/>
              <w:left w:w="50" w:type="dxa"/>
              <w:bottom w:w="40" w:type="dxa"/>
              <w:right w:w="50" w:type="dxa"/>
            </w:tcMar>
            <w:vAlign w:val="center"/>
          </w:tcPr>
          <w:p ns1:paraId="6909261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106.9286</w:t>
            </w:r>
          </w:p>
        </w:tc>
        <w:tc>
          <w:tcPr>
            <w:tcW w:w="1285" w:type="dxa"/>
            <w:tcBorders>
              <w:top w:val="nil"/>
              <w:left w:val="nil"/>
              <w:bottom w:val="nil"/>
              <w:right w:val="nil"/>
            </w:tcBorders>
            <w:noWrap w:val="0"/>
            <w:tcMar>
              <w:top w:w="40" w:type="dxa"/>
              <w:left w:w="50" w:type="dxa"/>
              <w:bottom w:w="40" w:type="dxa"/>
              <w:right w:w="50" w:type="dxa"/>
            </w:tcMar>
            <w:vAlign w:val="center"/>
          </w:tcPr>
          <w:p ns1:paraId="7B8809F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69E874E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168.1175</w:t>
            </w:r>
          </w:p>
        </w:tc>
        <w:tc>
          <w:tcPr>
            <w:tcW w:w="1460" w:type="dxa"/>
            <w:tcBorders>
              <w:top w:val="nil"/>
              <w:left w:val="nil"/>
              <w:bottom w:val="nil"/>
              <w:right w:val="nil"/>
            </w:tcBorders>
            <w:noWrap w:val="0"/>
            <w:tcMar>
              <w:top w:w="40" w:type="dxa"/>
              <w:left w:w="50" w:type="dxa"/>
              <w:bottom w:w="40" w:type="dxa"/>
              <w:right w:w="50" w:type="dxa"/>
            </w:tcMar>
            <w:vAlign w:val="center"/>
          </w:tcPr>
          <w:p ns1:paraId="7A47EA1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380.7391</w:t>
            </w:r>
          </w:p>
        </w:tc>
      </w:tr>
      <w:tr ns1:paraId="395120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1E00AD3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D_idx</w:t>
            </w:r>
          </w:p>
        </w:tc>
        <w:tc>
          <w:tcPr>
            <w:tcW w:w="780" w:type="dxa"/>
            <w:tcBorders>
              <w:top w:val="nil"/>
              <w:left w:val="nil"/>
              <w:bottom w:val="nil"/>
              <w:right w:val="nil"/>
            </w:tcBorders>
            <w:noWrap w:val="0"/>
            <w:tcMar>
              <w:top w:w="40" w:type="dxa"/>
              <w:left w:w="50" w:type="dxa"/>
              <w:bottom w:w="40" w:type="dxa"/>
              <w:right w:w="50" w:type="dxa"/>
            </w:tcMar>
            <w:vAlign w:val="center"/>
          </w:tcPr>
          <w:p ns1:paraId="442D9271">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266</w:t>
            </w:r>
          </w:p>
        </w:tc>
        <w:tc>
          <w:tcPr>
            <w:tcW w:w="1459" w:type="dxa"/>
            <w:tcBorders>
              <w:top w:val="nil"/>
              <w:left w:val="nil"/>
              <w:bottom w:val="nil"/>
              <w:right w:val="nil"/>
            </w:tcBorders>
            <w:noWrap w:val="0"/>
            <w:tcMar>
              <w:top w:w="40" w:type="dxa"/>
              <w:left w:w="50" w:type="dxa"/>
              <w:bottom w:w="40" w:type="dxa"/>
              <w:right w:w="50" w:type="dxa"/>
            </w:tcMar>
            <w:vAlign w:val="center"/>
          </w:tcPr>
          <w:p ns1:paraId="1D2C8C2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29.5266</w:t>
            </w:r>
          </w:p>
        </w:tc>
        <w:tc>
          <w:tcPr>
            <w:tcW w:w="1459" w:type="dxa"/>
            <w:tcBorders>
              <w:top w:val="nil"/>
              <w:left w:val="nil"/>
              <w:bottom w:val="nil"/>
              <w:right w:val="nil"/>
            </w:tcBorders>
            <w:noWrap w:val="0"/>
            <w:tcMar>
              <w:top w:w="40" w:type="dxa"/>
              <w:left w:w="50" w:type="dxa"/>
              <w:bottom w:w="40" w:type="dxa"/>
              <w:right w:w="50" w:type="dxa"/>
            </w:tcMar>
            <w:vAlign w:val="center"/>
          </w:tcPr>
          <w:p ns1:paraId="7DFB40C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34.6515</w:t>
            </w:r>
          </w:p>
        </w:tc>
        <w:tc>
          <w:tcPr>
            <w:tcW w:w="1285" w:type="dxa"/>
            <w:tcBorders>
              <w:top w:val="nil"/>
              <w:left w:val="nil"/>
              <w:bottom w:val="nil"/>
              <w:right w:val="nil"/>
            </w:tcBorders>
            <w:noWrap w:val="0"/>
            <w:tcMar>
              <w:top w:w="40" w:type="dxa"/>
              <w:left w:w="50" w:type="dxa"/>
              <w:bottom w:w="40" w:type="dxa"/>
              <w:right w:w="50" w:type="dxa"/>
            </w:tcMar>
            <w:vAlign w:val="center"/>
          </w:tcPr>
          <w:p ns1:paraId="07B1F89C">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0.0000</w:t>
            </w:r>
          </w:p>
        </w:tc>
        <w:tc>
          <w:tcPr>
            <w:tcW w:w="1459" w:type="dxa"/>
            <w:tcBorders>
              <w:top w:val="nil"/>
              <w:left w:val="nil"/>
              <w:bottom w:val="nil"/>
              <w:right w:val="nil"/>
            </w:tcBorders>
            <w:noWrap w:val="0"/>
            <w:tcMar>
              <w:top w:w="40" w:type="dxa"/>
              <w:left w:w="50" w:type="dxa"/>
              <w:bottom w:w="40" w:type="dxa"/>
              <w:right w:w="50" w:type="dxa"/>
            </w:tcMar>
            <w:vAlign w:val="center"/>
          </w:tcPr>
          <w:p ns1:paraId="0BDDBEE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29.5980</w:t>
            </w:r>
          </w:p>
        </w:tc>
        <w:tc>
          <w:tcPr>
            <w:tcW w:w="1460" w:type="dxa"/>
            <w:tcBorders>
              <w:top w:val="nil"/>
              <w:left w:val="nil"/>
              <w:bottom w:val="nil"/>
              <w:right w:val="nil"/>
            </w:tcBorders>
            <w:noWrap w:val="0"/>
            <w:tcMar>
              <w:top w:w="40" w:type="dxa"/>
              <w:left w:w="50" w:type="dxa"/>
              <w:bottom w:w="40" w:type="dxa"/>
              <w:right w:w="50" w:type="dxa"/>
            </w:tcMar>
            <w:vAlign w:val="center"/>
          </w:tcPr>
          <w:p ns1:paraId="7C4B6C7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384.6154</w:t>
            </w:r>
          </w:p>
        </w:tc>
      </w:tr>
      <w:tr ns1:paraId="052AD8C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25A1AFA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dfi</w:t>
            </w:r>
          </w:p>
        </w:tc>
        <w:tc>
          <w:tcPr>
            <w:tcW w:w="780" w:type="dxa"/>
            <w:tcBorders>
              <w:top w:val="nil"/>
              <w:left w:val="nil"/>
              <w:bottom w:val="nil"/>
              <w:right w:val="nil"/>
            </w:tcBorders>
            <w:noWrap w:val="0"/>
            <w:tcMar>
              <w:top w:w="40" w:type="dxa"/>
              <w:left w:w="50" w:type="dxa"/>
              <w:bottom w:w="40" w:type="dxa"/>
              <w:right w:w="50" w:type="dxa"/>
            </w:tcMar>
            <w:vAlign w:val="center"/>
          </w:tcPr>
          <w:p ns1:paraId="42AADB1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nil"/>
              <w:right w:val="nil"/>
            </w:tcBorders>
            <w:noWrap w:val="0"/>
            <w:tcMar>
              <w:top w:w="40" w:type="dxa"/>
              <w:left w:w="50" w:type="dxa"/>
              <w:bottom w:w="40" w:type="dxa"/>
              <w:right w:w="50" w:type="dxa"/>
            </w:tcMar>
            <w:vAlign w:val="center"/>
          </w:tcPr>
          <w:p ns1:paraId="770F673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263.8445</w:t>
            </w:r>
          </w:p>
        </w:tc>
        <w:tc>
          <w:tcPr>
            <w:tcW w:w="1459" w:type="dxa"/>
            <w:tcBorders>
              <w:top w:val="nil"/>
              <w:left w:val="nil"/>
              <w:bottom w:val="nil"/>
              <w:right w:val="nil"/>
            </w:tcBorders>
            <w:noWrap w:val="0"/>
            <w:tcMar>
              <w:top w:w="40" w:type="dxa"/>
              <w:left w:w="50" w:type="dxa"/>
              <w:bottom w:w="40" w:type="dxa"/>
              <w:right w:w="50" w:type="dxa"/>
            </w:tcMar>
            <w:vAlign w:val="center"/>
          </w:tcPr>
          <w:p ns1:paraId="44A8F47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97.5400</w:t>
            </w:r>
          </w:p>
        </w:tc>
        <w:tc>
          <w:tcPr>
            <w:tcW w:w="1285" w:type="dxa"/>
            <w:tcBorders>
              <w:top w:val="nil"/>
              <w:left w:val="nil"/>
              <w:bottom w:val="nil"/>
              <w:right w:val="nil"/>
            </w:tcBorders>
            <w:noWrap w:val="0"/>
            <w:tcMar>
              <w:top w:w="40" w:type="dxa"/>
              <w:left w:w="50" w:type="dxa"/>
              <w:bottom w:w="40" w:type="dxa"/>
              <w:right w:w="50" w:type="dxa"/>
            </w:tcMar>
            <w:vAlign w:val="center"/>
          </w:tcPr>
          <w:p ns1:paraId="32D5CB0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61.4700</w:t>
            </w:r>
          </w:p>
        </w:tc>
        <w:tc>
          <w:tcPr>
            <w:tcW w:w="1459" w:type="dxa"/>
            <w:tcBorders>
              <w:top w:val="nil"/>
              <w:left w:val="nil"/>
              <w:bottom w:val="nil"/>
              <w:right w:val="nil"/>
            </w:tcBorders>
            <w:noWrap w:val="0"/>
            <w:tcMar>
              <w:top w:w="40" w:type="dxa"/>
              <w:left w:w="50" w:type="dxa"/>
              <w:bottom w:w="40" w:type="dxa"/>
              <w:right w:w="50" w:type="dxa"/>
            </w:tcMar>
            <w:vAlign w:val="center"/>
          </w:tcPr>
          <w:p ns1:paraId="349BC8C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273.1650</w:t>
            </w:r>
          </w:p>
        </w:tc>
        <w:tc>
          <w:tcPr>
            <w:tcW w:w="1460" w:type="dxa"/>
            <w:tcBorders>
              <w:top w:val="nil"/>
              <w:left w:val="nil"/>
              <w:bottom w:val="nil"/>
              <w:right w:val="nil"/>
            </w:tcBorders>
            <w:noWrap w:val="0"/>
            <w:tcMar>
              <w:top w:w="40" w:type="dxa"/>
              <w:left w:w="50" w:type="dxa"/>
              <w:bottom w:w="40" w:type="dxa"/>
              <w:right w:w="50" w:type="dxa"/>
            </w:tcMar>
            <w:vAlign w:val="center"/>
          </w:tcPr>
          <w:p ns1:paraId="33E9CA58">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458.9700</w:t>
            </w:r>
          </w:p>
        </w:tc>
      </w:tr>
      <w:tr ns1:paraId="35B19B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25BFCC3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digital_econ</w:t>
            </w:r>
          </w:p>
        </w:tc>
        <w:tc>
          <w:tcPr>
            <w:tcW w:w="780" w:type="dxa"/>
            <w:tcBorders>
              <w:top w:val="nil"/>
              <w:left w:val="nil"/>
              <w:bottom w:val="nil"/>
              <w:right w:val="nil"/>
            </w:tcBorders>
            <w:noWrap w:val="0"/>
            <w:tcMar>
              <w:top w:w="40" w:type="dxa"/>
              <w:left w:w="50" w:type="dxa"/>
              <w:bottom w:w="40" w:type="dxa"/>
              <w:right w:w="50" w:type="dxa"/>
            </w:tcMar>
            <w:vAlign w:val="center"/>
          </w:tcPr>
          <w:p ns1:paraId="6BF85808">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nil"/>
              <w:right w:val="nil"/>
            </w:tcBorders>
            <w:noWrap w:val="0"/>
            <w:tcMar>
              <w:top w:w="40" w:type="dxa"/>
              <w:left w:w="50" w:type="dxa"/>
              <w:bottom w:w="40" w:type="dxa"/>
              <w:right w:w="50" w:type="dxa"/>
            </w:tcMar>
            <w:vAlign w:val="center"/>
          </w:tcPr>
          <w:p ns1:paraId="550AC20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0.1353</w:t>
            </w:r>
          </w:p>
        </w:tc>
        <w:tc>
          <w:tcPr>
            <w:tcW w:w="1459" w:type="dxa"/>
            <w:tcBorders>
              <w:top w:val="nil"/>
              <w:left w:val="nil"/>
              <w:bottom w:val="nil"/>
              <w:right w:val="nil"/>
            </w:tcBorders>
            <w:noWrap w:val="0"/>
            <w:tcMar>
              <w:top w:w="40" w:type="dxa"/>
              <w:left w:w="50" w:type="dxa"/>
              <w:bottom w:w="40" w:type="dxa"/>
              <w:right w:w="50" w:type="dxa"/>
            </w:tcMar>
            <w:vAlign w:val="center"/>
          </w:tcPr>
          <w:p ns1:paraId="7E2A13C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0.1047</w:t>
            </w:r>
          </w:p>
        </w:tc>
        <w:tc>
          <w:tcPr>
            <w:tcW w:w="1285" w:type="dxa"/>
            <w:tcBorders>
              <w:top w:val="nil"/>
              <w:left w:val="nil"/>
              <w:bottom w:val="nil"/>
              <w:right w:val="nil"/>
            </w:tcBorders>
            <w:noWrap w:val="0"/>
            <w:tcMar>
              <w:top w:w="40" w:type="dxa"/>
              <w:left w:w="50" w:type="dxa"/>
              <w:bottom w:w="40" w:type="dxa"/>
              <w:right w:w="50" w:type="dxa"/>
            </w:tcMar>
            <w:vAlign w:val="center"/>
          </w:tcPr>
          <w:p ns1:paraId="2B2D1D31">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0.0174</w:t>
            </w:r>
          </w:p>
        </w:tc>
        <w:tc>
          <w:tcPr>
            <w:tcW w:w="1459" w:type="dxa"/>
            <w:tcBorders>
              <w:top w:val="nil"/>
              <w:left w:val="nil"/>
              <w:bottom w:val="nil"/>
              <w:right w:val="nil"/>
            </w:tcBorders>
            <w:noWrap w:val="0"/>
            <w:tcMar>
              <w:top w:w="40" w:type="dxa"/>
              <w:left w:w="50" w:type="dxa"/>
              <w:bottom w:w="40" w:type="dxa"/>
              <w:right w:w="50" w:type="dxa"/>
            </w:tcMar>
            <w:vAlign w:val="center"/>
          </w:tcPr>
          <w:p ns1:paraId="47C2853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0.1013</w:t>
            </w:r>
          </w:p>
        </w:tc>
        <w:tc>
          <w:tcPr>
            <w:tcW w:w="1460" w:type="dxa"/>
            <w:tcBorders>
              <w:top w:val="nil"/>
              <w:left w:val="nil"/>
              <w:bottom w:val="nil"/>
              <w:right w:val="nil"/>
            </w:tcBorders>
            <w:noWrap w:val="0"/>
            <w:tcMar>
              <w:top w:w="40" w:type="dxa"/>
              <w:left w:w="50" w:type="dxa"/>
              <w:bottom w:w="40" w:type="dxa"/>
              <w:right w:w="50" w:type="dxa"/>
            </w:tcMar>
            <w:vAlign w:val="center"/>
          </w:tcPr>
          <w:p ns1:paraId="40F035A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0.5903</w:t>
            </w:r>
          </w:p>
        </w:tc>
      </w:tr>
      <w:tr ns1:paraId="37E651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045146A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base_station_density</w:t>
            </w:r>
          </w:p>
        </w:tc>
        <w:tc>
          <w:tcPr>
            <w:tcW w:w="780" w:type="dxa"/>
            <w:tcBorders>
              <w:top w:val="nil"/>
              <w:left w:val="nil"/>
              <w:bottom w:val="nil"/>
              <w:right w:val="nil"/>
            </w:tcBorders>
            <w:noWrap w:val="0"/>
            <w:tcMar>
              <w:top w:w="40" w:type="dxa"/>
              <w:left w:w="50" w:type="dxa"/>
              <w:bottom w:w="40" w:type="dxa"/>
              <w:right w:w="50" w:type="dxa"/>
            </w:tcMar>
            <w:vAlign w:val="center"/>
          </w:tcPr>
          <w:p ns1:paraId="7D643421">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nil"/>
              <w:right w:val="nil"/>
            </w:tcBorders>
            <w:noWrap w:val="0"/>
            <w:tcMar>
              <w:top w:w="40" w:type="dxa"/>
              <w:left w:w="50" w:type="dxa"/>
              <w:bottom w:w="40" w:type="dxa"/>
              <w:right w:w="50" w:type="dxa"/>
            </w:tcMar>
            <w:vAlign w:val="center"/>
          </w:tcPr>
          <w:p ns1:paraId="5F71352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0.0280</w:t>
            </w:r>
          </w:p>
        </w:tc>
        <w:tc>
          <w:tcPr>
            <w:tcW w:w="1459" w:type="dxa"/>
            <w:tcBorders>
              <w:top w:val="nil"/>
              <w:left w:val="nil"/>
              <w:bottom w:val="nil"/>
              <w:right w:val="nil"/>
            </w:tcBorders>
            <w:noWrap w:val="0"/>
            <w:tcMar>
              <w:top w:w="40" w:type="dxa"/>
              <w:left w:w="50" w:type="dxa"/>
              <w:bottom w:w="40" w:type="dxa"/>
              <w:right w:w="50" w:type="dxa"/>
            </w:tcMar>
            <w:vAlign w:val="center"/>
          </w:tcPr>
          <w:p ns1:paraId="6B94E07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0.0207</w:t>
            </w:r>
          </w:p>
        </w:tc>
        <w:tc>
          <w:tcPr>
            <w:tcW w:w="1285" w:type="dxa"/>
            <w:tcBorders>
              <w:top w:val="nil"/>
              <w:left w:val="nil"/>
              <w:bottom w:val="nil"/>
              <w:right w:val="nil"/>
            </w:tcBorders>
            <w:noWrap w:val="0"/>
            <w:tcMar>
              <w:top w:w="40" w:type="dxa"/>
              <w:left w:w="50" w:type="dxa"/>
              <w:bottom w:w="40" w:type="dxa"/>
              <w:right w:w="50" w:type="dxa"/>
            </w:tcMar>
            <w:vAlign w:val="center"/>
          </w:tcPr>
          <w:p ns1:paraId="2D7E46E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0.0035</w:t>
            </w:r>
          </w:p>
        </w:tc>
        <w:tc>
          <w:tcPr>
            <w:tcW w:w="1459" w:type="dxa"/>
            <w:tcBorders>
              <w:top w:val="nil"/>
              <w:left w:val="nil"/>
              <w:bottom w:val="nil"/>
              <w:right w:val="nil"/>
            </w:tcBorders>
            <w:noWrap w:val="0"/>
            <w:tcMar>
              <w:top w:w="40" w:type="dxa"/>
              <w:left w:w="50" w:type="dxa"/>
              <w:bottom w:w="40" w:type="dxa"/>
              <w:right w:w="50" w:type="dxa"/>
            </w:tcMar>
            <w:vAlign w:val="center"/>
          </w:tcPr>
          <w:p ns1:paraId="61AB38E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0.0218</w:t>
            </w:r>
          </w:p>
        </w:tc>
        <w:tc>
          <w:tcPr>
            <w:tcW w:w="1460" w:type="dxa"/>
            <w:tcBorders>
              <w:top w:val="nil"/>
              <w:left w:val="nil"/>
              <w:bottom w:val="nil"/>
              <w:right w:val="nil"/>
            </w:tcBorders>
            <w:noWrap w:val="0"/>
            <w:tcMar>
              <w:top w:w="40" w:type="dxa"/>
              <w:left w:w="50" w:type="dxa"/>
              <w:bottom w:w="40" w:type="dxa"/>
              <w:right w:w="50" w:type="dxa"/>
            </w:tcMar>
            <w:vAlign w:val="center"/>
          </w:tcPr>
          <w:p ns1:paraId="148649D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0.1048</w:t>
            </w:r>
          </w:p>
        </w:tc>
      </w:tr>
      <w:tr ns1:paraId="3C95AD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3FF0643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ln_rd_expenditure</w:t>
            </w:r>
          </w:p>
        </w:tc>
        <w:tc>
          <w:tcPr>
            <w:tcW w:w="780" w:type="dxa"/>
            <w:tcBorders>
              <w:top w:val="nil"/>
              <w:left w:val="nil"/>
              <w:bottom w:val="nil"/>
              <w:right w:val="nil"/>
            </w:tcBorders>
            <w:noWrap w:val="0"/>
            <w:tcMar>
              <w:top w:w="40" w:type="dxa"/>
              <w:left w:w="50" w:type="dxa"/>
              <w:bottom w:w="40" w:type="dxa"/>
              <w:right w:w="50" w:type="dxa"/>
            </w:tcMar>
            <w:vAlign w:val="center"/>
          </w:tcPr>
          <w:p ns1:paraId="61935CBE">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nil"/>
              <w:right w:val="nil"/>
            </w:tcBorders>
            <w:noWrap w:val="0"/>
            <w:tcMar>
              <w:top w:w="40" w:type="dxa"/>
              <w:left w:w="50" w:type="dxa"/>
              <w:bottom w:w="40" w:type="dxa"/>
              <w:right w:w="50" w:type="dxa"/>
            </w:tcMar>
            <w:vAlign w:val="center"/>
          </w:tcPr>
          <w:p ns1:paraId="27ACB20B">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7.9358</w:t>
            </w:r>
          </w:p>
        </w:tc>
        <w:tc>
          <w:tcPr>
            <w:tcW w:w="1459" w:type="dxa"/>
            <w:tcBorders>
              <w:top w:val="nil"/>
              <w:left w:val="nil"/>
              <w:bottom w:val="nil"/>
              <w:right w:val="nil"/>
            </w:tcBorders>
            <w:noWrap w:val="0"/>
            <w:tcMar>
              <w:top w:w="40" w:type="dxa"/>
              <w:left w:w="50" w:type="dxa"/>
              <w:bottom w:w="40" w:type="dxa"/>
              <w:right w:w="50" w:type="dxa"/>
            </w:tcMar>
            <w:vAlign w:val="center"/>
          </w:tcPr>
          <w:p ns1:paraId="6CC164F3">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0.9215</w:t>
            </w:r>
          </w:p>
        </w:tc>
        <w:tc>
          <w:tcPr>
            <w:tcW w:w="1285" w:type="dxa"/>
            <w:tcBorders>
              <w:top w:val="nil"/>
              <w:left w:val="nil"/>
              <w:bottom w:val="nil"/>
              <w:right w:val="nil"/>
            </w:tcBorders>
            <w:noWrap w:val="0"/>
            <w:tcMar>
              <w:top w:w="40" w:type="dxa"/>
              <w:left w:w="50" w:type="dxa"/>
              <w:bottom w:w="40" w:type="dxa"/>
              <w:right w:w="50" w:type="dxa"/>
            </w:tcMar>
            <w:vAlign w:val="center"/>
          </w:tcPr>
          <w:p ns1:paraId="632698D2">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5.6353</w:t>
            </w:r>
          </w:p>
        </w:tc>
        <w:tc>
          <w:tcPr>
            <w:tcW w:w="1459" w:type="dxa"/>
            <w:tcBorders>
              <w:top w:val="nil"/>
              <w:left w:val="nil"/>
              <w:bottom w:val="nil"/>
              <w:right w:val="nil"/>
            </w:tcBorders>
            <w:noWrap w:val="0"/>
            <w:tcMar>
              <w:top w:w="40" w:type="dxa"/>
              <w:left w:w="50" w:type="dxa"/>
              <w:bottom w:w="40" w:type="dxa"/>
              <w:right w:w="50" w:type="dxa"/>
            </w:tcMar>
            <w:vAlign w:val="center"/>
          </w:tcPr>
          <w:p ns1:paraId="7B5B930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7.9150</w:t>
            </w:r>
          </w:p>
        </w:tc>
        <w:tc>
          <w:tcPr>
            <w:tcW w:w="1460" w:type="dxa"/>
            <w:tcBorders>
              <w:top w:val="nil"/>
              <w:left w:val="nil"/>
              <w:bottom w:val="nil"/>
              <w:right w:val="nil"/>
            </w:tcBorders>
            <w:noWrap w:val="0"/>
            <w:tcMar>
              <w:top w:w="40" w:type="dxa"/>
              <w:left w:w="50" w:type="dxa"/>
              <w:bottom w:w="40" w:type="dxa"/>
              <w:right w:w="50" w:type="dxa"/>
            </w:tcMar>
            <w:vAlign w:val="center"/>
          </w:tcPr>
          <w:p ns1:paraId="771BB03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10.1334</w:t>
            </w:r>
          </w:p>
        </w:tc>
      </w:tr>
      <w:tr ns1:paraId="11969B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nil"/>
              <w:right w:val="nil"/>
            </w:tcBorders>
            <w:noWrap w:val="0"/>
            <w:tcMar>
              <w:top w:w="40" w:type="dxa"/>
              <w:left w:w="50" w:type="dxa"/>
              <w:bottom w:w="40" w:type="dxa"/>
              <w:right w:w="50" w:type="dxa"/>
            </w:tcMar>
            <w:vAlign w:val="center"/>
          </w:tcPr>
          <w:p ns1:paraId="2FC176AF">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ln_tech_contract_value</w:t>
            </w:r>
          </w:p>
        </w:tc>
        <w:tc>
          <w:tcPr>
            <w:tcW w:w="780" w:type="dxa"/>
            <w:tcBorders>
              <w:top w:val="nil"/>
              <w:left w:val="nil"/>
              <w:bottom w:val="nil"/>
              <w:right w:val="nil"/>
            </w:tcBorders>
            <w:noWrap w:val="0"/>
            <w:tcMar>
              <w:top w:w="40" w:type="dxa"/>
              <w:left w:w="50" w:type="dxa"/>
              <w:bottom w:w="40" w:type="dxa"/>
              <w:right w:w="50" w:type="dxa"/>
            </w:tcMar>
            <w:vAlign w:val="center"/>
          </w:tcPr>
          <w:p ns1:paraId="234D3CE0">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nil"/>
              <w:right w:val="nil"/>
            </w:tcBorders>
            <w:noWrap w:val="0"/>
            <w:tcMar>
              <w:top w:w="40" w:type="dxa"/>
              <w:left w:w="50" w:type="dxa"/>
              <w:bottom w:w="40" w:type="dxa"/>
              <w:right w:w="50" w:type="dxa"/>
            </w:tcMar>
            <w:vAlign w:val="center"/>
          </w:tcPr>
          <w:p ns1:paraId="5B9AAE7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5.6816</w:t>
            </w:r>
          </w:p>
        </w:tc>
        <w:tc>
          <w:tcPr>
            <w:tcW w:w="1459" w:type="dxa"/>
            <w:tcBorders>
              <w:top w:val="nil"/>
              <w:left w:val="nil"/>
              <w:bottom w:val="nil"/>
              <w:right w:val="nil"/>
            </w:tcBorders>
            <w:noWrap w:val="0"/>
            <w:tcMar>
              <w:top w:w="40" w:type="dxa"/>
              <w:left w:w="50" w:type="dxa"/>
              <w:bottom w:w="40" w:type="dxa"/>
              <w:right w:w="50" w:type="dxa"/>
            </w:tcMar>
            <w:vAlign w:val="center"/>
          </w:tcPr>
          <w:p ns1:paraId="7EBC3E2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1.2834</w:t>
            </w:r>
          </w:p>
        </w:tc>
        <w:tc>
          <w:tcPr>
            <w:tcW w:w="1285" w:type="dxa"/>
            <w:tcBorders>
              <w:top w:val="nil"/>
              <w:left w:val="nil"/>
              <w:bottom w:val="nil"/>
              <w:right w:val="nil"/>
            </w:tcBorders>
            <w:noWrap w:val="0"/>
            <w:tcMar>
              <w:top w:w="40" w:type="dxa"/>
              <w:left w:w="50" w:type="dxa"/>
              <w:bottom w:w="40" w:type="dxa"/>
              <w:right w:w="50" w:type="dxa"/>
            </w:tcMar>
            <w:vAlign w:val="center"/>
          </w:tcPr>
          <w:p ns1:paraId="463CF357">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1.3600</w:t>
            </w:r>
          </w:p>
        </w:tc>
        <w:tc>
          <w:tcPr>
            <w:tcW w:w="1459" w:type="dxa"/>
            <w:tcBorders>
              <w:top w:val="nil"/>
              <w:left w:val="nil"/>
              <w:bottom w:val="nil"/>
              <w:right w:val="nil"/>
            </w:tcBorders>
            <w:noWrap w:val="0"/>
            <w:tcMar>
              <w:top w:w="40" w:type="dxa"/>
              <w:left w:w="50" w:type="dxa"/>
              <w:bottom w:w="40" w:type="dxa"/>
              <w:right w:w="50" w:type="dxa"/>
            </w:tcMar>
            <w:vAlign w:val="center"/>
          </w:tcPr>
          <w:p ns1:paraId="40020C6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5.7558</w:t>
            </w:r>
          </w:p>
        </w:tc>
        <w:tc>
          <w:tcPr>
            <w:tcW w:w="1460" w:type="dxa"/>
            <w:tcBorders>
              <w:top w:val="nil"/>
              <w:left w:val="nil"/>
              <w:bottom w:val="nil"/>
              <w:right w:val="nil"/>
            </w:tcBorders>
            <w:noWrap w:val="0"/>
            <w:tcMar>
              <w:top w:w="40" w:type="dxa"/>
              <w:left w:w="50" w:type="dxa"/>
              <w:bottom w:w="40" w:type="dxa"/>
              <w:right w:w="50" w:type="dxa"/>
            </w:tcMar>
            <w:vAlign w:val="center"/>
          </w:tcPr>
          <w:p ns1:paraId="1B4A7EA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8.8443</w:t>
            </w:r>
          </w:p>
        </w:tc>
      </w:tr>
      <w:tr ns1:paraId="2CF3393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852" w:type="dxa"/>
            <w:tcBorders>
              <w:top w:val="nil"/>
              <w:left w:val="nil"/>
              <w:bottom w:val="single" w:color="auto" w:sz="12" w:space="0"/>
              <w:right w:val="nil"/>
            </w:tcBorders>
            <w:noWrap w:val="0"/>
            <w:tcMar>
              <w:top w:w="40" w:type="dxa"/>
              <w:left w:w="50" w:type="dxa"/>
              <w:bottom w:w="40" w:type="dxa"/>
              <w:right w:w="50" w:type="dxa"/>
            </w:tcMar>
            <w:vAlign w:val="center"/>
          </w:tcPr>
          <w:p ns1:paraId="48A0CCC6">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ln_patent_grants</w:t>
            </w:r>
          </w:p>
        </w:tc>
        <w:tc>
          <w:tcPr>
            <w:tcW w:w="780" w:type="dxa"/>
            <w:tcBorders>
              <w:top w:val="nil"/>
              <w:left w:val="nil"/>
              <w:bottom w:val="single" w:color="auto" w:sz="12" w:space="0"/>
              <w:right w:val="nil"/>
            </w:tcBorders>
            <w:noWrap w:val="0"/>
            <w:tcMar>
              <w:top w:w="40" w:type="dxa"/>
              <w:left w:w="50" w:type="dxa"/>
              <w:bottom w:w="40" w:type="dxa"/>
              <w:right w:w="50" w:type="dxa"/>
            </w:tcMar>
            <w:vAlign w:val="center"/>
          </w:tcPr>
          <w:p ns1:paraId="42C3FF6F">
            <w:pPr>
              <w:snapToGrid w:val="0"/>
              <w:spacing w:before="0" w:after="0" w:line="240" w:lineRule="auto"/>
              <w:ind w:left="0" w:leftChars="0" w:right="0" w:rightChars="0" w:firstLine="0" w:firstLineChars="0"/>
              <w:jc w:val="left"/>
              <w:rPr>
                <w:rFonts w:ascii="Noto Serif CJK SC" w:eastAsia="Noto Serif CJK SC"/>
                <w:sz w:val="15"/>
              </w:rPr>
            </w:pPr>
            <w:r>
              <w:rPr>
                <w:rFonts w:ascii="Noto Serif CJK SC" w:hAnsi="Noto Serif CJK SC" w:eastAsia="Noto Serif CJK SC"/>
                <w:b w:val="0"/>
                <w:sz w:val="15"/>
              </w:rPr>
              <w:t>262</w:t>
            </w:r>
          </w:p>
        </w:tc>
        <w:tc>
          <w:tcPr>
            <w:tcW w:w="1459" w:type="dxa"/>
            <w:tcBorders>
              <w:top w:val="nil"/>
              <w:left w:val="nil"/>
              <w:bottom w:val="single" w:color="auto" w:sz="12" w:space="0"/>
              <w:right w:val="nil"/>
            </w:tcBorders>
            <w:noWrap w:val="0"/>
            <w:tcMar>
              <w:top w:w="40" w:type="dxa"/>
              <w:left w:w="50" w:type="dxa"/>
              <w:bottom w:w="40" w:type="dxa"/>
              <w:right w:w="50" w:type="dxa"/>
            </w:tcMar>
            <w:vAlign w:val="center"/>
          </w:tcPr>
          <w:p ns1:paraId="7FB2775D">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10.0760</w:t>
            </w:r>
          </w:p>
        </w:tc>
        <w:tc>
          <w:tcPr>
            <w:tcW w:w="1459" w:type="dxa"/>
            <w:tcBorders>
              <w:top w:val="nil"/>
              <w:left w:val="nil"/>
              <w:bottom w:val="single" w:color="auto" w:sz="12" w:space="0"/>
              <w:right w:val="nil"/>
            </w:tcBorders>
            <w:noWrap w:val="0"/>
            <w:tcMar>
              <w:top w:w="40" w:type="dxa"/>
              <w:left w:w="50" w:type="dxa"/>
              <w:bottom w:w="40" w:type="dxa"/>
              <w:right w:w="50" w:type="dxa"/>
            </w:tcMar>
            <w:vAlign w:val="center"/>
          </w:tcPr>
          <w:p ns1:paraId="60439A34">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1.4254</w:t>
            </w:r>
          </w:p>
        </w:tc>
        <w:tc>
          <w:tcPr>
            <w:tcW w:w="1285" w:type="dxa"/>
            <w:tcBorders>
              <w:top w:val="nil"/>
              <w:left w:val="nil"/>
              <w:bottom w:val="single" w:color="auto" w:sz="12" w:space="0"/>
              <w:right w:val="nil"/>
            </w:tcBorders>
            <w:noWrap w:val="0"/>
            <w:tcMar>
              <w:top w:w="40" w:type="dxa"/>
              <w:left w:w="50" w:type="dxa"/>
              <w:bottom w:w="40" w:type="dxa"/>
              <w:right w:w="50" w:type="dxa"/>
            </w:tcMar>
            <w:vAlign w:val="center"/>
          </w:tcPr>
          <w:p ns1:paraId="7DF0C8AE">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6.1686</w:t>
            </w:r>
          </w:p>
        </w:tc>
        <w:tc>
          <w:tcPr>
            <w:tcW w:w="1459" w:type="dxa"/>
            <w:tcBorders>
              <w:top w:val="nil"/>
              <w:left w:val="nil"/>
              <w:bottom w:val="single" w:color="auto" w:sz="12" w:space="0"/>
              <w:right w:val="nil"/>
            </w:tcBorders>
            <w:noWrap w:val="0"/>
            <w:tcMar>
              <w:top w:w="40" w:type="dxa"/>
              <w:left w:w="50" w:type="dxa"/>
              <w:bottom w:w="40" w:type="dxa"/>
              <w:right w:w="50" w:type="dxa"/>
            </w:tcMar>
            <w:vAlign w:val="center"/>
          </w:tcPr>
          <w:p ns1:paraId="726488A5">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10.0809</w:t>
            </w:r>
          </w:p>
        </w:tc>
        <w:tc>
          <w:tcPr>
            <w:tcW w:w="1460" w:type="dxa"/>
            <w:tcBorders>
              <w:top w:val="nil"/>
              <w:left w:val="nil"/>
              <w:bottom w:val="single" w:color="auto" w:sz="12" w:space="0"/>
              <w:right w:val="nil"/>
            </w:tcBorders>
            <w:noWrap w:val="0"/>
            <w:tcMar>
              <w:top w:w="40" w:type="dxa"/>
              <w:left w:w="50" w:type="dxa"/>
              <w:bottom w:w="40" w:type="dxa"/>
              <w:right w:w="50" w:type="dxa"/>
            </w:tcMar>
            <w:vAlign w:val="center"/>
          </w:tcPr>
          <w:p ns1:paraId="0C7EA790">
            <w:pPr>
              <w:snapToGrid w:val="0"/>
              <w:spacing w:before="0" w:after="0" w:line="240" w:lineRule="auto"/>
              <w:ind w:left="0" w:leftChars="0" w:right="0" w:rightChars="0" w:firstLine="0" w:firstLineChars="0"/>
              <w:jc w:val="center"/>
              <w:rPr>
                <w:rFonts w:ascii="Noto Serif CJK SC" w:eastAsia="Noto Serif CJK SC"/>
                <w:sz w:val="15"/>
              </w:rPr>
            </w:pPr>
            <w:r>
              <w:rPr>
                <w:rFonts w:ascii="Noto Serif CJK SC" w:hAnsi="Noto Serif CJK SC" w:eastAsia="Noto Serif CJK SC"/>
                <w:b w:val="0"/>
                <w:sz w:val="15"/>
              </w:rPr>
              <w:t>13.3356</w:t>
            </w:r>
          </w:p>
        </w:tc>
      </w:tr>
    </w:tbl>
    <w:p>
      <w:pPr>
        <w:jc w:val="both"/>
        <w:spacing w:before="0" w:after="0" w:line="420" w:lineRule="auto"/>
        <w:ind w:firstLine="420"/>
      </w:pPr>
      <w:r>
        <w:rPr>
          <w:rFonts w:ascii="Times New Roman" w:hAnsi="Times New Roman" w:eastAsia="宋体"/>
          <w:sz w:val="24"/>
          <w:szCs w:val="24"/>
        </w:rPr>
        <w:t>这里需要坚持两条边界。第一，表8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9部分压缩为扩展分析而非全文压轴，其作用是补充说明文本和结构变量在项目层面的应用潜力，而不是改变全文主线。</w:t>
      </w:r>
    </w:p>
    <w:p>
      <w:pPr>
        <w:jc w:val="left"/>
        <w:spacing w:before="180" w:after="60" w:line="420" w:lineRule="auto"/>
      </w:pPr>
      <w:r>
        <w:rPr>
          <w:rFonts w:ascii="Times New Roman" w:hAnsi="Times New Roman" w:eastAsia="宋体"/>
          <w:b/>
          <w:sz w:val="30"/>
          <w:szCs w:val="30"/>
        </w:rPr>
        <w:t>6 结论与展望</w:t>
      </w:r>
    </w:p>
    <w:p>
      <w:pPr>
        <w:jc w:val="both"/>
        <w:spacing w:before="0" w:after="0" w:line="420" w:lineRule="auto"/>
        <w:ind w:firstLine="420"/>
      </w:pPr>
      <w:r>
        <w:rPr>
          <w:rFonts w:ascii="Times New Roman" w:hAnsi="Times New Roman" w:eastAsia="宋体"/>
          <w:sz w:val="24"/>
          <w:szCs w:val="24"/>
        </w:rP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w:pPr>
        <w:jc w:val="both"/>
        <w:spacing w:before="0" w:after="0" w:line="420" w:lineRule="auto"/>
        <w:ind w:firstLine="420"/>
      </w:pPr>
      <w:r>
        <w:rPr>
          <w:rFonts w:ascii="Times New Roman" w:hAnsi="Times New Roman" w:eastAsia="宋体"/>
          <w:sz w:val="24"/>
          <w:szCs w:val="24"/>
        </w:rP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w:pPr>
        <w:jc w:val="both"/>
        <w:spacing w:before="0" w:after="0" w:line="420" w:lineRule="auto"/>
        <w:ind w:firstLine="420"/>
      </w:pPr>
      <w:r>
        <w:rPr>
          <w:rFonts w:ascii="Times New Roman" w:hAnsi="Times New Roman" w:eastAsia="宋体"/>
          <w:sz w:val="24"/>
          <w:szCs w:val="24"/>
        </w:rPr>
        <w:t>第二，综合治理质量指标存在正向信号，但稳定性不足，不能承担全文主结论。无论在基准结果还是在稳健性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平行趋势成立”的附加证明。</w:t>
      </w:r>
    </w:p>
    <w:p>
      <w:pPr>
        <w:jc w:val="both"/>
        <w:spacing w:before="0" w:after="0" w:line="420" w:lineRule="auto"/>
        <w:ind w:firstLine="420"/>
      </w:pPr>
      <w:r>
        <w:rPr>
          <w:rFonts w:ascii="Times New Roman" w:hAnsi="Times New Roman" w:eastAsia="宋体"/>
          <w:sz w:val="24"/>
          <w:szCs w:val="24"/>
        </w:rP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w:pPr>
        <w:jc w:val="both"/>
        <w:spacing w:before="0" w:after="0" w:line="420" w:lineRule="auto"/>
        <w:ind w:firstLine="420"/>
      </w:pPr>
      <w:r>
        <w:rPr>
          <w:rFonts w:ascii="Times New Roman" w:hAnsi="Times New Roman" w:eastAsia="宋体"/>
          <w:sz w:val="24"/>
          <w:szCs w:val="24"/>
        </w:rP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w:pPr>
        <w:jc w:val="both"/>
        <w:spacing w:before="0" w:after="0" w:line="420" w:lineRule="auto"/>
        <w:ind w:firstLine="420"/>
      </w:pPr>
      <w:r>
        <w:rPr>
          <w:rFonts w:ascii="Times New Roman" w:hAnsi="Times New Roman" w:eastAsia="宋体"/>
          <w:sz w:val="24"/>
          <w:szCs w:val="24"/>
        </w:rP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w:pPr>
        <w:jc w:val="both"/>
        <w:spacing w:before="0" w:after="0" w:line="420" w:lineRule="auto"/>
        <w:ind w:firstLine="420"/>
      </w:pPr>
      <w:r>
        <w:rPr>
          <w:rFonts w:ascii="Times New Roman" w:hAnsi="Times New Roman" w:eastAsia="宋体"/>
          <w:sz w:val="24"/>
          <w:szCs w:val="24"/>
        </w:rP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严格避免标签泄漏的前提下，引入更丰富的制度语义特征和项目约束信息，提升项目级风险辅助识别的解释力与政策适用性。</w:t>
      </w:r>
    </w:p>
    <w:p>
      <w:pPr>
        <w:jc w:val="left"/>
        <w:spacing w:before="180" w:after="60" w:line="420" w:lineRule="auto"/>
      </w:pPr>
      <w:r>
        <w:rPr>
          <w:rFonts w:ascii="Times New Roman" w:hAnsi="Times New Roman" w:eastAsia="宋体"/>
          <w:b/>
          <w:sz w:val="30"/>
          <w:szCs w:val="30"/>
        </w:rPr>
        <w:t>参考文献</w:t>
      </w:r>
    </w:p>
    <w:p>
      <w:pPr>
        <w:jc w:val="both"/>
        <w:spacing w:before="0" w:after="0" w:line="420" w:lineRule="auto"/>
        <w:ind w:firstLine="420"/>
      </w:pPr>
      <w:r>
        <w:rPr>
          <w:rFonts w:ascii="Times New Roman" w:hAnsi="Times New Roman" w:eastAsia="宋体"/>
          <w:sz w:val="24"/>
          <w:szCs w:val="24"/>
        </w:rPr>
        <w:t>以下参考文献依据当前项目工作目录中的正式文献包和正文实际使用需求整理。作者、年份、期刊、卷期与页码在正式投稿前仍需按目标期刊体例统一核校。</w:t>
      </w:r>
    </w:p>
    <w:p>
      <w:pPr>
        <w:jc w:val="both"/>
        <w:spacing w:before="0" w:after="0" w:line="420" w:lineRule="auto"/>
        <w:ind w:firstLine="420"/>
      </w:pPr>
      <w:r>
        <w:rPr>
          <w:rFonts w:ascii="Times New Roman" w:hAnsi="Times New Roman" w:eastAsia="宋体"/>
          <w:sz w:val="24"/>
          <w:szCs w:val="24"/>
        </w:rPr>
        <w:t>1. 汪峰. 经济增长目标引领与项目推进：基于中国PPP项目进程的分析[期刊信息待核].</w:t>
      </w:r>
    </w:p>
    <w:p>
      <w:pPr>
        <w:jc w:val="both"/>
        <w:spacing w:before="0" w:after="0" w:line="420" w:lineRule="auto"/>
        <w:ind w:firstLine="420"/>
      </w:pPr>
      <w:r>
        <w:rPr>
          <w:rFonts w:ascii="Times New Roman" w:hAnsi="Times New Roman" w:eastAsia="宋体"/>
          <w:sz w:val="24"/>
          <w:szCs w:val="24"/>
        </w:rPr>
        <w:t>2. 李晓宇. 人工智能的新测度方法及其应用[期刊信息待核].</w:t>
      </w:r>
    </w:p>
    <w:p>
      <w:pPr>
        <w:jc w:val="both"/>
        <w:spacing w:before="0" w:after="0" w:line="420" w:lineRule="auto"/>
        <w:ind w:firstLine="420"/>
      </w:pPr>
      <w:r>
        <w:rPr>
          <w:rFonts w:ascii="Times New Roman" w:hAnsi="Times New Roman" w:eastAsia="宋体"/>
          <w:sz w:val="24"/>
          <w:szCs w:val="24"/>
        </w:rPr>
        <w:t>3. 周玮. 机器学习与会计舞弊治理：基于非遴选因子的预测视角[期刊信息待核].</w:t>
      </w:r>
    </w:p>
    <w:p>
      <w:pPr>
        <w:jc w:val="both"/>
        <w:spacing w:before="0" w:after="0" w:line="420" w:lineRule="auto"/>
        <w:ind w:firstLine="420"/>
      </w:pPr>
      <w:r>
        <w:rPr>
          <w:rFonts w:ascii="Times New Roman" w:hAnsi="Times New Roman" w:eastAsia="宋体"/>
          <w:sz w:val="24"/>
          <w:szCs w:val="24"/>
        </w:rPr>
        <w:t>4. PPP政策内容分析及其市场影响[期刊信息待核].</w:t>
      </w:r>
    </w:p>
    <w:p>
      <w:pPr>
        <w:jc w:val="both"/>
        <w:spacing w:before="0" w:after="0" w:line="420" w:lineRule="auto"/>
        <w:ind w:firstLine="420"/>
      </w:pPr>
      <w:r>
        <w:rPr>
          <w:rFonts w:ascii="Times New Roman" w:hAnsi="Times New Roman" w:eastAsia="宋体"/>
          <w:sz w:val="24"/>
          <w:szCs w:val="24"/>
        </w:rPr>
        <w:t>5. 基于深度学习的我国科技政策属性识别[期刊信息待核].</w:t>
      </w:r>
    </w:p>
    <w:p>
      <w:pPr>
        <w:jc w:val="both"/>
        <w:spacing w:before="0" w:after="0" w:line="420" w:lineRule="auto"/>
        <w:ind w:firstLine="420"/>
      </w:pPr>
      <w:r>
        <w:rPr>
          <w:rFonts w:ascii="Times New Roman" w:hAnsi="Times New Roman" w:eastAsia="宋体"/>
          <w:sz w:val="24"/>
          <w:szCs w:val="24"/>
        </w:rPr>
        <w:t>6. 政策取向一致性与企业高质量绿色转型[期刊信息待核].</w:t>
      </w:r>
    </w:p>
    <w:p>
      <w:pPr>
        <w:jc w:val="both"/>
        <w:spacing w:before="0" w:after="0" w:line="420" w:lineRule="auto"/>
        <w:ind w:firstLine="420"/>
      </w:pPr>
      <w:r>
        <w:rPr>
          <w:rFonts w:ascii="Times New Roman" w:hAnsi="Times New Roman" w:eastAsia="宋体"/>
          <w:sz w:val="24"/>
          <w:szCs w:val="24"/>
        </w:rPr>
        <w:t>7. 地方政府视域下的文本分析研究[期刊信息待核].</w:t>
      </w:r>
    </w:p>
    <w:p>
      <w:pPr>
        <w:jc w:val="both"/>
        <w:spacing w:before="0" w:after="0" w:line="420" w:lineRule="auto"/>
        <w:ind w:firstLine="420"/>
      </w:pPr>
      <w:r>
        <w:rPr>
          <w:rFonts w:ascii="Times New Roman" w:hAnsi="Times New Roman" w:eastAsia="宋体"/>
          <w:sz w:val="24"/>
          <w:szCs w:val="24"/>
        </w:rPr>
        <w:t>8. 变与稳：危机事件触发政策系统的差异化调适[期刊信息待核].</w:t>
      </w:r>
    </w:p>
    <w:p>
      <w:pPr>
        <w:jc w:val="both"/>
        <w:spacing w:before="0" w:after="0" w:line="420" w:lineRule="auto"/>
        <w:ind w:firstLine="420"/>
      </w:pPr>
      <w:r>
        <w:rPr>
          <w:rFonts w:ascii="Times New Roman" w:hAnsi="Times New Roman" w:eastAsia="宋体"/>
          <w:sz w:val="24"/>
          <w:szCs w:val="24"/>
        </w:rPr>
        <w:t>9. 大数据综合试验区提升企业数据资产化的机制[期刊信息待核].</w:t>
      </w:r>
    </w:p>
    <w:p>
      <w:pPr>
        <w:jc w:val="both"/>
        <w:spacing w:before="0" w:after="0" w:line="420" w:lineRule="auto"/>
        <w:ind w:firstLine="420"/>
      </w:pPr>
      <w:r>
        <w:rPr>
          <w:rFonts w:ascii="Times New Roman" w:hAnsi="Times New Roman" w:eastAsia="宋体"/>
          <w:sz w:val="24"/>
          <w:szCs w:val="24"/>
        </w:rPr>
        <w:t>10. 数字风险治理：研究脉络、理论框架及未来展望[期刊信息待核].</w:t>
      </w:r>
    </w:p>
    <w:p>
      <w:pPr>
        <w:jc w:val="both"/>
        <w:spacing w:before="0" w:after="0" w:line="420" w:lineRule="auto"/>
        <w:ind w:firstLine="420"/>
      </w:pPr>
      <w:r>
        <w:rPr>
          <w:rFonts w:ascii="Times New Roman" w:hAnsi="Times New Roman" w:eastAsia="宋体"/>
          <w:sz w:val="24"/>
          <w:szCs w:val="24"/>
        </w:rPr>
        <w:t>11. 基于BERTopic的计算机视觉领域热点技术主题及演化分析[期刊信息待核].</w:t>
      </w:r>
    </w:p>
    <w:p>
      <w:pPr>
        <w:jc w:val="both"/>
        <w:spacing w:before="0" w:after="0" w:line="420" w:lineRule="auto"/>
        <w:ind w:firstLine="420"/>
      </w:pPr>
      <w:r>
        <w:rPr>
          <w:rFonts w:ascii="Times New Roman" w:hAnsi="Times New Roman" w:eastAsia="宋体"/>
          <w:sz w:val="24"/>
          <w:szCs w:val="24"/>
        </w:rPr>
        <w:t>12. 政策信息学视角下政策文本量化方法研究进展[期刊信息待核].</w:t>
      </w:r>
    </w:p>
    <w:p>
      <w:pPr>
        <w:jc w:val="both"/>
        <w:spacing w:before="0" w:after="0" w:line="420" w:lineRule="auto"/>
        <w:ind w:firstLine="420"/>
      </w:pPr>
      <w:r>
        <w:rPr>
          <w:rFonts w:ascii="Times New Roman" w:hAnsi="Times New Roman" w:eastAsia="宋体"/>
          <w:sz w:val="24"/>
          <w:szCs w:val="24"/>
        </w:rPr>
        <w:t>13. 注册制改革、信息披露与投资者行为：基于创业板定向增发的证据[期刊信息待核].</w:t>
      </w:r>
    </w:p>
    <w:p>
      <w:pPr>
        <w:jc w:val="both"/>
        <w:spacing w:before="0" w:after="0" w:line="420" w:lineRule="auto"/>
        <w:ind w:firstLine="420"/>
      </w:pPr>
      <w:r>
        <w:rPr>
          <w:rFonts w:ascii="Times New Roman" w:hAnsi="Times New Roman" w:eastAsia="宋体"/>
          <w:sz w:val="24"/>
          <w:szCs w:val="24"/>
        </w:rPr>
        <w:t>14. 基于大语言模型的多阶段网络舆情驱动群体共识决策方法研究[期刊信息待核].</w:t>
      </w:r>
    </w:p>
    <w:p>
      <w:pPr>
        <w:jc w:val="both"/>
        <w:spacing w:before="0" w:after="0" w:line="420" w:lineRule="auto"/>
        <w:ind w:firstLine="420"/>
      </w:pPr>
      <w:r>
        <w:rPr>
          <w:rFonts w:ascii="Times New Roman" w:hAnsi="Times New Roman" w:eastAsia="宋体"/>
          <w:sz w:val="24"/>
          <w:szCs w:val="24"/>
        </w:rPr>
        <w:t>15. Saito, T., &amp; Rehmsmeier, M. The precision-recall plot is more informative than the ROC plot when evaluating binary classifiers on imbalanced datasets[J]. PLOS ONE, 2015, 10(3): e0118432.</w:t>
      </w:r>
    </w:p>
    <w:p>
      <w:pPr>
        <w:jc w:val="both"/>
        <w:spacing w:before="0" w:after="0" w:line="420" w:lineRule="auto"/>
        <w:ind w:firstLine="420"/>
      </w:pPr>
      <w:r>
        <w:rPr>
          <w:rFonts w:ascii="Times New Roman" w:hAnsi="Times New Roman" w:eastAsia="宋体"/>
          <w:sz w:val="24"/>
          <w:szCs w:val="24"/>
        </w:rPr>
        <w:t>16. Sun, L., &amp; Abraham, S. Estimating dynamic treatment effects in event studies with heterogeneous treatment effects[J]. Journal of Econometrics, 2021, 225(2): 175-199.</w:t>
      </w:r>
    </w:p>
    <w:p>
      <w:pPr>
        <w:jc w:val="left"/>
        <w:spacing w:before="180" w:after="60" w:line="420" w:lineRule="auto"/>
      </w:pPr>
      <w:r>
        <w:rPr>
          <w:rFonts w:ascii="Times New Roman" w:hAnsi="Times New Roman" w:eastAsia="宋体"/>
          <w:b/>
          <w:sz w:val="30"/>
          <w:szCs w:val="30"/>
        </w:rPr>
        <w:t>附录说明</w:t>
      </w:r>
    </w:p>
    <w:p>
      <w:pPr>
        <w:jc w:val="both"/>
        <w:spacing w:before="0" w:after="0" w:line="420" w:lineRule="auto"/>
        <w:ind w:firstLine="420"/>
      </w:pPr>
      <w:r>
        <w:rPr>
          <w:rFonts w:ascii="Times New Roman" w:hAnsi="Times New Roman" w:eastAsia="宋体"/>
          <w:sz w:val="24"/>
          <w:szCs w:val="24"/>
        </w:rPr>
        <w:t>1. 正文核心图围绕政策文本构造与治理能力测度总览、PPP推进状态空间、处理组与对照组分布差异以及主结果稳健性阶梯图展开；其余文本诊断图和第9部分模型表现图默认附录化处理。</w:t>
      </w:r>
    </w:p>
    <w:p>
      <w:pPr>
        <w:jc w:val="both"/>
        <w:spacing w:before="0" w:after="0" w:line="420" w:lineRule="auto"/>
        <w:ind w:firstLine="420"/>
      </w:pPr>
      <w:r>
        <w:rPr>
          <w:rFonts w:ascii="Times New Roman" w:hAnsi="Times New Roman" w:eastAsia="宋体"/>
          <w:sz w:val="24"/>
          <w:szCs w:val="24"/>
        </w:rPr>
        <w:t>2. 正文核心表围绕表1、表2、表3、表4、表5、表7和表8组织；表6保留为正文短节的补充证据，版面收缩时可转入附录。</w:t>
      </w:r>
    </w:p>
    <w:p>
      <w:pPr>
        <w:jc w:val="both"/>
        <w:spacing w:before="0" w:after="0" w:line="420" w:lineRule="auto"/>
        <w:ind w:firstLine="420"/>
      </w:pPr>
      <w:r>
        <w:rPr>
          <w:rFonts w:ascii="Times New Roman" w:hAnsi="Times New Roman" w:eastAsia="宋体"/>
          <w:sz w:val="24"/>
          <w:szCs w:val="24"/>
        </w:rPr>
        <w:t>3. 全文唯一主识别为treat_share的多期DID/TWFE；文本分析服务于治理测度、机制解释和扩展分析，项目级机器学习仅构成治理辅助识别。</w:t>
      </w:r>
    </w:p>
    <w:sectPr>
      <w:pgSz w:w="11906" w:h="16838"/>
      <w:pgMar w:top="1440" w:right="1800" w:bottom="1440" w:left="1800" w:header="851" w:footer="992" w:gutter="0"/>
    </w:sectPr>
  </w:body>
</w:document>
</file>

<file path=word/styles.xml><?xml version="1.0" encoding="utf-8"?>
<w:styles xmlns:w="http://schemas.openxmlformats.org/wordprocessingml/2006/main">
  <w:docDefaults>
    <w:rPrDefault>
      <w:rPr>
        <w:rFonts w:ascii="Times New Roman" w:hAnsi="Times New Roman" w:eastAsia="宋体"/>
        <w:sz w:val="24"/>
        <w:szCs w:val="24"/>
      </w:rPr>
    </w:r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政务服务数字化改革如何优化PPP项目推进与治理过程？</dc:title>
  <dc:creator>OpenAI Codex</dc:creator>
  <cp:lastModifiedBy>OpenAI Codex</cp:lastModifiedBy>
  <dcterms:created xsi:type="dcterms:W3CDTF">2026-04-15T12:22:22Z</dcterms:created>
  <dcterms:modified xsi:type="dcterms:W3CDTF">2026-04-15T12:22:22Z</dcterms:modified>
</cp:coreProperties>
</file>