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96D8">
      <w:pPr>
        <w:spacing w:before="0" w:after="120" w:line="420" w:lineRule="auto"/>
        <w:jc w:val="center"/>
      </w:pPr>
      <w:r>
        <w:rPr>
          <w:rFonts w:ascii="Times New Roman" w:hAnsi="Times New Roman" w:eastAsia="宋体"/>
          <w:b/>
          <w:sz w:val="32"/>
          <w:szCs w:val="32"/>
        </w:rPr>
        <w:t>政务服务数字化改革如何优化PPP项目推进与治理过程？</w:t>
      </w:r>
    </w:p>
    <w:p w14:paraId="390DCDE6">
      <w:pPr>
        <w:spacing w:before="0" w:after="100" w:line="420" w:lineRule="auto"/>
        <w:jc w:val="center"/>
      </w:pPr>
      <w:r>
        <w:rPr>
          <w:rFonts w:ascii="Times New Roman" w:hAnsi="Times New Roman" w:eastAsia="宋体"/>
          <w:sz w:val="26"/>
          <w:szCs w:val="26"/>
        </w:rPr>
        <w:t>——基于政策文本量化与省级面板评估的证据</w:t>
      </w:r>
    </w:p>
    <w:p w14:paraId="30403AEF">
      <w:pPr>
        <w:spacing w:before="100" w:after="40" w:line="420" w:lineRule="auto"/>
        <w:jc w:val="left"/>
      </w:pPr>
      <w:r>
        <w:rPr>
          <w:rFonts w:ascii="Times New Roman" w:hAnsi="Times New Roman" w:eastAsia="宋体"/>
          <w:b/>
          <w:sz w:val="25"/>
          <w:szCs w:val="25"/>
        </w:rPr>
        <w:t>摘要</w:t>
      </w:r>
    </w:p>
    <w:p w14:paraId="06D5E74C">
      <w:r>
        <w:rPr>
          <w:rFonts w:ascii="Times New Roman" w:hAnsi="Times New Roman" w:eastAsia="宋体"/>
          <w:sz w:val="24"/>
        </w:rPr>
        <w:t>围绕政务服务数字化改革与PPP治理之间的关系，本文尝试回答一个更具公共管理含义而非纯技术含义的问题：数字化改革究竟首先改善了PPP项目的哪一类治理环节。基于地方政府PPP政策文本、统一口径的省级主面板以及项目级风险底表，本文将政策文本量化结果转化为治理能力测度变量，在此基础上以treat_share为核心处理变量，采用多期DID/TWFE识别政务服务数字化改革对PPP项目推进结构与治理表现的影响。研究发现，数字化改革最稳定的作用首先体现为项目推进结构优化：执行阶段占比显著上升，采购阶段占比显著下降。进一步的趋势调整型检验、逐省剔除诊断和更保守的小样本推断表明，采购阶段占比下降在更严格设定下仍较为稳定，执行阶段占比上升则主要表现为方向保持一致但统计强度有所减弱。相比之下，综合治理质量指标ppp_quality_zindex虽呈正向变化，但在补充检验中仍未形成稳定支持，因而不能承担全文主结论。机制分析表明，改革更可能优先作用于数字治理接口、数据协同和前端规范准入等环节，并伴随采购—执行治理维度的阶段性响应，但严格意义上的完整强中介链条并未建立。常规稳健性、替代处理变量和高维方法检验整体保持主结果方向一致，而匹配样本DID和工具变量可行性评估更多体现为识别边界而非额外强化。进一步地，在严格避免标签泄漏的前提下，项目级高低风险具有中等偏强的可识别性，但这一部分仅构成治理辅助识别的扩展分析，不改变本文以多期DID/TWFE为唯一主识别的研究结构。本文的经验结果提示，数字化改革在PPP领域的现实作用更接近于改善政府内部协同、前端规范和审批执行衔接，而非即时、全面地提升所有治理质量指标。</w:t>
      </w:r>
    </w:p>
    <w:p w14:paraId="67752E94">
      <w:pPr>
        <w:spacing w:before="0" w:after="40" w:line="420" w:lineRule="auto"/>
        <w:jc w:val="left"/>
      </w:pPr>
      <w:r>
        <w:rPr>
          <w:rFonts w:ascii="Times New Roman" w:hAnsi="Times New Roman" w:eastAsia="宋体"/>
          <w:sz w:val="24"/>
          <w:szCs w:val="24"/>
        </w:rPr>
        <w:t>关键词：数字政府；政务服务数字化改革；PPP治理；政策文本量化；推进结构；风险辅助识别</w:t>
      </w:r>
    </w:p>
    <w:p w14:paraId="5705B879">
      <w:pPr>
        <w:spacing w:before="160" w:after="60" w:line="420" w:lineRule="auto"/>
        <w:jc w:val="left"/>
      </w:pPr>
      <w:r>
        <w:rPr>
          <w:rFonts w:ascii="Times New Roman" w:hAnsi="Times New Roman" w:eastAsia="宋体"/>
          <w:b/>
          <w:sz w:val="28"/>
          <w:szCs w:val="28"/>
        </w:rPr>
        <w:t>1 引言</w:t>
      </w:r>
    </w:p>
    <w:p w14:paraId="7EA9AC05">
      <w:pPr>
        <w:spacing w:before="0" w:after="0" w:line="420" w:lineRule="auto"/>
        <w:ind w:firstLine="420"/>
        <w:jc w:val="both"/>
      </w:pPr>
      <w:r>
        <w:rPr>
          <w:rFonts w:ascii="Times New Roman" w:hAnsi="Times New Roman" w:eastAsia="宋体"/>
          <w:sz w:val="24"/>
          <w:szCs w:val="24"/>
        </w:rP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w14:paraId="2AF545B6">
      <w:pPr>
        <w:spacing w:before="0" w:after="0" w:line="420" w:lineRule="auto"/>
        <w:ind w:firstLine="420"/>
        <w:jc w:val="both"/>
      </w:pPr>
      <w:r>
        <w:rPr>
          <w:rFonts w:ascii="Times New Roman" w:hAnsi="Times New Roman" w:eastAsia="宋体"/>
          <w:sz w:val="24"/>
          <w:szCs w:val="24"/>
        </w:rPr>
        <w:t>既有研究为理解这一问题提供了三方面基础，但仍存在明显空缺。第一，关于数字政府或数字治理改革的研究，更多关注营商环境、政务效率和企业行为等结果变量，对于PPP这一兼具公共服务供给、政府监管和跨部门协同特征的治理场景，关注仍然不足。第二，关于PPP治理的经验研究，已有工作已经注意到地方治理压力、财政约束和项目推进之间的关系，但对“政府改革如何通过政策执行与流程重构影响PPP推进结构”的解释仍不充分。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至于项目级机器学习识别，已有相关经验更多出现在金融舞弊或企业风险领域，直接移植到PPP并不自然，其适用边界也需要重新界定。</w:t>
      </w:r>
    </w:p>
    <w:p w14:paraId="07EBD6BC">
      <w:pPr>
        <w:spacing w:before="0" w:after="0" w:line="420" w:lineRule="auto"/>
        <w:ind w:firstLine="420"/>
        <w:jc w:val="both"/>
      </w:pPr>
      <w:r>
        <w:rPr>
          <w:rFonts w:ascii="Times New Roman" w:hAnsi="Times New Roman" w:eastAsia="宋体"/>
          <w:sz w:val="24"/>
          <w:szCs w:val="24"/>
        </w:rP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w:t>
      </w:r>
    </w:p>
    <w:p w14:paraId="51C6C0BD">
      <w:r>
        <w:rPr>
          <w:rFonts w:ascii="Times New Roman" w:hAnsi="Times New Roman" w:eastAsia="宋体"/>
          <w:sz w:val="24"/>
        </w:rPr>
        <w:t>本文的经验结果表明，数字化改革最稳固的作用首先表现为PPP推进结构的调整。基准结果显示，treat_share显著提高执行阶段占比，并显著降低采购阶段占比。进一步的趋势调整型检验、逐省剔除诊断和更保守的小样本推断表明，采购阶段占比下降的结果更为稳健，执行阶段占比上升则主要表现为方向保持一致但统计强度有所减弱。相比之下，综合治理质量指标ppp_quality_zindex虽然在部分规格下方向为正，但始终未形成同等稳固的统计支持，不能被写成全文主结论。机制分析进一步表明，改革更可能优先作用于数字治理接口和前端规范环节，采购—执行治理维度存在阶段性响应，但严格中介并未成立。项目级高低风险识别结果则显示，在严格避免标签泄漏的前提下，文本与结构变量可以服务于风险排序任务，但这一部分属于扩展分析，不构成对主识别的替代。</w:t>
      </w:r>
    </w:p>
    <w:p w14:paraId="72D87E3E">
      <w:pPr>
        <w:spacing w:before="0" w:after="0" w:line="420" w:lineRule="auto"/>
        <w:ind w:firstLine="420"/>
        <w:jc w:val="both"/>
      </w:pPr>
      <w:r>
        <w:rPr>
          <w:rFonts w:ascii="Times New Roman" w:hAnsi="Times New Roman" w:eastAsia="宋体"/>
          <w:sz w:val="24"/>
          <w:szCs w:val="24"/>
        </w:rP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w14:paraId="4943697C">
      <w:pPr>
        <w:spacing w:before="160" w:after="60" w:line="420" w:lineRule="auto"/>
        <w:jc w:val="left"/>
      </w:pPr>
      <w:r>
        <w:rPr>
          <w:rFonts w:ascii="Times New Roman" w:hAnsi="Times New Roman" w:eastAsia="宋体"/>
          <w:b/>
          <w:sz w:val="28"/>
          <w:szCs w:val="28"/>
        </w:rPr>
        <w:t>2 文献综述</w:t>
      </w:r>
    </w:p>
    <w:p w14:paraId="532AF634">
      <w:pPr>
        <w:spacing w:before="100" w:after="40" w:line="420" w:lineRule="auto"/>
        <w:jc w:val="left"/>
      </w:pPr>
      <w:r>
        <w:rPr>
          <w:rFonts w:ascii="Times New Roman" w:hAnsi="Times New Roman" w:eastAsia="宋体"/>
          <w:b/>
          <w:sz w:val="25"/>
          <w:szCs w:val="25"/>
        </w:rPr>
        <w:t>2.1 数字政府、政策执行与组织协同</w:t>
      </w:r>
    </w:p>
    <w:p w14:paraId="7B2D6F51">
      <w:pPr>
        <w:spacing w:before="0" w:after="0" w:line="420" w:lineRule="auto"/>
        <w:ind w:firstLine="420"/>
        <w:jc w:val="both"/>
      </w:pPr>
      <w:r>
        <w:rPr>
          <w:rFonts w:ascii="Times New Roman" w:hAnsi="Times New Roman" w:eastAsia="宋体"/>
          <w:sz w:val="24"/>
          <w:szCs w:val="24"/>
        </w:rP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w:t>
      </w:r>
    </w:p>
    <w:p w14:paraId="3A1123CD">
      <w:pPr>
        <w:spacing w:before="0" w:after="0" w:line="420" w:lineRule="auto"/>
        <w:ind w:firstLine="420"/>
        <w:jc w:val="both"/>
      </w:pPr>
      <w:r>
        <w:rPr>
          <w:rFonts w:ascii="Times New Roman" w:hAnsi="Times New Roman" w:eastAsia="宋体"/>
          <w:sz w:val="24"/>
          <w:szCs w:val="24"/>
        </w:rP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w14:paraId="426717FE">
      <w:pPr>
        <w:spacing w:before="100" w:after="40" w:line="420" w:lineRule="auto"/>
        <w:jc w:val="left"/>
      </w:pPr>
      <w:r>
        <w:rPr>
          <w:rFonts w:ascii="Times New Roman" w:hAnsi="Times New Roman" w:eastAsia="宋体"/>
          <w:b/>
          <w:sz w:val="25"/>
          <w:szCs w:val="25"/>
        </w:rPr>
        <w:t>2.2 PPP治理、公共服务供给与项目推进</w:t>
      </w:r>
    </w:p>
    <w:p w14:paraId="28EF0F58">
      <w:pPr>
        <w:spacing w:before="0" w:after="0" w:line="420" w:lineRule="auto"/>
        <w:ind w:firstLine="420"/>
        <w:jc w:val="both"/>
      </w:pPr>
      <w:r>
        <w:rPr>
          <w:rFonts w:ascii="Times New Roman" w:hAnsi="Times New Roman" w:eastAsia="宋体"/>
          <w:sz w:val="24"/>
          <w:szCs w:val="24"/>
        </w:rP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w:t>
      </w:r>
    </w:p>
    <w:p w14:paraId="158F9385">
      <w:pPr>
        <w:spacing w:before="0" w:after="0" w:line="420" w:lineRule="auto"/>
        <w:ind w:firstLine="420"/>
        <w:jc w:val="both"/>
      </w:pPr>
      <w:r>
        <w:rPr>
          <w:rFonts w:ascii="Times New Roman" w:hAnsi="Times New Roman" w:eastAsia="宋体"/>
          <w:sz w:val="24"/>
          <w:szCs w:val="24"/>
        </w:rP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w14:paraId="2940264A">
      <w:pPr>
        <w:spacing w:before="100" w:after="40" w:line="420" w:lineRule="auto"/>
        <w:jc w:val="left"/>
      </w:pPr>
      <w:r>
        <w:rPr>
          <w:rFonts w:ascii="Times New Roman" w:hAnsi="Times New Roman" w:eastAsia="宋体"/>
          <w:b/>
          <w:sz w:val="25"/>
          <w:szCs w:val="25"/>
        </w:rPr>
        <w:t>2.3 政策文本量化、治理测度与变量工程</w:t>
      </w:r>
    </w:p>
    <w:p w14:paraId="0B47B6EC">
      <w:pPr>
        <w:spacing w:before="0" w:after="0" w:line="420" w:lineRule="auto"/>
        <w:ind w:firstLine="420"/>
        <w:jc w:val="both"/>
      </w:pPr>
      <w:r>
        <w:rPr>
          <w:rFonts w:ascii="Times New Roman" w:hAnsi="Times New Roman" w:eastAsia="宋体"/>
          <w:sz w:val="24"/>
          <w:szCs w:val="24"/>
        </w:rP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w:t>
      </w:r>
    </w:p>
    <w:p w14:paraId="61656872">
      <w:pPr>
        <w:spacing w:before="0" w:after="0" w:line="420" w:lineRule="auto"/>
        <w:ind w:firstLine="420"/>
        <w:jc w:val="both"/>
      </w:pPr>
      <w:r>
        <w:rPr>
          <w:rFonts w:ascii="Times New Roman" w:hAnsi="Times New Roman" w:eastAsia="宋体"/>
          <w:sz w:val="24"/>
          <w:szCs w:val="24"/>
        </w:rP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w14:paraId="060D3D1F">
      <w:pPr>
        <w:spacing w:before="100" w:after="40" w:line="420" w:lineRule="auto"/>
        <w:jc w:val="left"/>
      </w:pPr>
      <w:r>
        <w:rPr>
          <w:rFonts w:ascii="Times New Roman" w:hAnsi="Times New Roman" w:eastAsia="宋体"/>
          <w:b/>
          <w:sz w:val="25"/>
          <w:szCs w:val="25"/>
        </w:rPr>
        <w:t>2.4 风险治理与辅助识别的边界</w:t>
      </w:r>
    </w:p>
    <w:p w14:paraId="615D316D">
      <w:pPr>
        <w:spacing w:before="0" w:after="0" w:line="420" w:lineRule="auto"/>
        <w:ind w:firstLine="420"/>
        <w:jc w:val="both"/>
      </w:pPr>
      <w:r>
        <w:rPr>
          <w:rFonts w:ascii="Times New Roman" w:hAnsi="Times New Roman" w:eastAsia="宋体"/>
          <w:sz w:val="24"/>
          <w:szCs w:val="24"/>
        </w:rP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w:t>
      </w:r>
    </w:p>
    <w:p w14:paraId="70365786">
      <w:pPr>
        <w:spacing w:before="0" w:after="0" w:line="420" w:lineRule="auto"/>
        <w:ind w:firstLine="420"/>
        <w:jc w:val="both"/>
      </w:pPr>
      <w:r>
        <w:rPr>
          <w:rFonts w:ascii="Times New Roman" w:hAnsi="Times New Roman" w:eastAsia="宋体"/>
          <w:sz w:val="24"/>
          <w:szCs w:val="24"/>
        </w:rP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w14:paraId="66567846">
      <w:pPr>
        <w:spacing w:before="0" w:after="0" w:line="420" w:lineRule="auto"/>
        <w:ind w:firstLine="420"/>
        <w:jc w:val="both"/>
      </w:pPr>
      <w:r>
        <w:rPr>
          <w:rFonts w:ascii="Times New Roman" w:hAnsi="Times New Roman" w:eastAsia="宋体"/>
          <w:sz w:val="24"/>
          <w:szCs w:val="24"/>
        </w:rP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w14:paraId="6707BDC3">
      <w:pPr>
        <w:spacing w:before="160" w:after="60" w:line="420" w:lineRule="auto"/>
        <w:jc w:val="left"/>
      </w:pPr>
      <w:r>
        <w:rPr>
          <w:rFonts w:ascii="Times New Roman" w:hAnsi="Times New Roman" w:eastAsia="宋体"/>
          <w:b/>
          <w:sz w:val="28"/>
          <w:szCs w:val="28"/>
        </w:rPr>
        <w:t>3 理论分析与研究假设</w:t>
      </w:r>
    </w:p>
    <w:p w14:paraId="1C9B496D">
      <w:pPr>
        <w:spacing w:before="0" w:after="0" w:line="420" w:lineRule="auto"/>
        <w:ind w:firstLine="420"/>
        <w:jc w:val="both"/>
      </w:pPr>
      <w:r>
        <w:rPr>
          <w:rFonts w:ascii="Times New Roman" w:hAnsi="Times New Roman" w:eastAsia="宋体"/>
          <w:sz w:val="24"/>
          <w:szCs w:val="24"/>
        </w:rPr>
        <w:t>在明确研究问题、数据基础和总体识别思路之后，本文需要进一步回答一个更为根本的问题：政务服务数字化改革究竟通过何种公共管理机制影响 PPP 项目的治理运行过程。对于 PPP 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w14:paraId="563E5DF9">
      <w:pPr>
        <w:spacing w:before="160" w:after="60" w:line="420" w:lineRule="auto"/>
        <w:jc w:val="left"/>
      </w:pPr>
      <w:r>
        <w:rPr>
          <w:rFonts w:ascii="Times New Roman" w:hAnsi="Times New Roman" w:eastAsia="宋体"/>
          <w:b/>
          <w:sz w:val="28"/>
          <w:szCs w:val="28"/>
        </w:rPr>
        <w:t>3.1 数字化改革、政府协同与 PPP 推进结构</w:t>
      </w:r>
    </w:p>
    <w:p w14:paraId="2319931F">
      <w:pPr>
        <w:spacing w:before="0" w:after="0" w:line="420" w:lineRule="auto"/>
        <w:ind w:firstLine="420"/>
        <w:jc w:val="both"/>
      </w:pPr>
      <w:r>
        <w:rPr>
          <w:rFonts w:ascii="Times New Roman" w:hAnsi="Times New Roman" w:eastAsia="宋体"/>
          <w:sz w:val="24"/>
          <w:szCs w:val="24"/>
        </w:rPr>
        <w:t>PPP 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 项目能否顺利由前端识别和采购环节进入执行环节，本质上反映的是政府内部治理能力和政策执行效率。</w:t>
      </w:r>
    </w:p>
    <w:p w14:paraId="17069AF5">
      <w:pPr>
        <w:spacing w:before="0" w:after="0" w:line="420" w:lineRule="auto"/>
        <w:ind w:firstLine="420"/>
        <w:jc w:val="both"/>
      </w:pPr>
      <w:r>
        <w:rPr>
          <w:rFonts w:ascii="Times New Roman" w:hAnsi="Times New Roman" w:eastAsia="宋体"/>
          <w:sz w:val="24"/>
          <w:szCs w:val="24"/>
        </w:rP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w14:paraId="1C61CB02">
      <w:pPr>
        <w:spacing w:before="0" w:after="0" w:line="420" w:lineRule="auto"/>
        <w:ind w:firstLine="420"/>
        <w:jc w:val="both"/>
      </w:pPr>
      <w:r>
        <w:rPr>
          <w:rFonts w:ascii="Times New Roman" w:hAnsi="Times New Roman" w:eastAsia="宋体"/>
          <w:sz w:val="24"/>
          <w:szCs w:val="24"/>
        </w:rPr>
        <w:t>从公共管理角度看，这种变化具有两层含义。其一，数字化改革通过改善政府内部协同和政策执行效率，提升了项目推进链条中的组织可达性与程序可达性。其二，PPP 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w14:paraId="2A8A054C">
      <w:pPr>
        <w:spacing w:before="0" w:after="0" w:line="420" w:lineRule="auto"/>
        <w:ind w:firstLine="420"/>
        <w:jc w:val="both"/>
      </w:pPr>
      <w:r>
        <w:rPr>
          <w:rFonts w:ascii="Times New Roman" w:hAnsi="Times New Roman" w:eastAsia="宋体"/>
          <w:sz w:val="24"/>
          <w:szCs w:val="24"/>
        </w:rPr>
        <w:t>基于上述分析，本文提出第一个研究假设：</w:t>
      </w:r>
    </w:p>
    <w:p w14:paraId="587F4C6B">
      <w:pPr>
        <w:spacing w:before="50" w:after="50" w:line="420" w:lineRule="auto"/>
        <w:jc w:val="left"/>
      </w:pPr>
      <w:r>
        <w:rPr>
          <w:rFonts w:ascii="Times New Roman" w:hAnsi="Times New Roman" w:eastAsia="宋体"/>
          <w:b/>
          <w:sz w:val="24"/>
          <w:szCs w:val="24"/>
        </w:rPr>
        <w:t>假说 H1：政务服务数字化改革将优先改善 PPP 项目的推进结构，具体表现为执行阶段占比上升、采购阶段占比下降。</w:t>
      </w:r>
    </w:p>
    <w:p w14:paraId="496EF862">
      <w:pPr>
        <w:spacing w:before="0" w:after="0" w:line="420" w:lineRule="auto"/>
        <w:ind w:firstLine="420"/>
        <w:jc w:val="both"/>
      </w:pPr>
      <w:r>
        <w:rPr>
          <w:rFonts w:ascii="Times New Roman" w:hAnsi="Times New Roman" w:eastAsia="宋体"/>
          <w:sz w:val="24"/>
          <w:szCs w:val="24"/>
        </w:rPr>
        <w:t>这一假说的理论定位是全文主假说，其所对应的经验检验将构成后文主识别部分的核心证据。需要强调的是，H1 的提出并不意味着本文要把数字化改革解释为“全面提升 PPP 治理质量”的单向冲击；相反，H1 旨在为后文的实证分析设定一个更符合公共管理逻辑、也更符合当前正式结果边界的检验框架。</w:t>
      </w:r>
    </w:p>
    <w:p w14:paraId="31900A7E">
      <w:pPr>
        <w:spacing w:before="160" w:after="60" w:line="420" w:lineRule="auto"/>
        <w:jc w:val="left"/>
      </w:pPr>
      <w:r>
        <w:rPr>
          <w:rFonts w:ascii="Times New Roman" w:hAnsi="Times New Roman" w:eastAsia="宋体"/>
          <w:b/>
          <w:sz w:val="28"/>
          <w:szCs w:val="28"/>
        </w:rPr>
        <w:t>3.2 接口优先、前端规范先行与阶段性传导</w:t>
      </w:r>
    </w:p>
    <w:p w14:paraId="67455CD8">
      <w:pPr>
        <w:spacing w:before="0" w:after="0" w:line="420" w:lineRule="auto"/>
        <w:ind w:firstLine="420"/>
        <w:jc w:val="both"/>
      </w:pPr>
      <w:r>
        <w:rPr>
          <w:rFonts w:ascii="Times New Roman" w:hAnsi="Times New Roman" w:eastAsia="宋体"/>
          <w:sz w:val="24"/>
          <w:szCs w:val="24"/>
        </w:rP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 PPP 场景中，这些接口因素既决定项目能否被有效识别和规范纳入，也决定项目能否在采购与执行之间实现更顺畅的流程转换。</w:t>
      </w:r>
    </w:p>
    <w:p w14:paraId="6578DD09">
      <w:pPr>
        <w:spacing w:before="0" w:after="0" w:line="420" w:lineRule="auto"/>
        <w:ind w:firstLine="420"/>
        <w:jc w:val="both"/>
      </w:pPr>
      <w:r>
        <w:rPr>
          <w:rFonts w:ascii="Times New Roman" w:hAnsi="Times New Roman" w:eastAsia="宋体"/>
          <w:sz w:val="24"/>
          <w:szCs w:val="24"/>
        </w:rPr>
        <w:t>结合本文的政策文本框架，这一逻辑可以进一步拆解为四个层面的治理维度。第一，A 维度对应数字治理接口与数据协同，其核心是平台建设、在线办理、数据共享和信息公开等制度表达。这一维度反映的是政府内部流程再造和协同能力，是数字化改革最可能率先作用的环节。第二，B 维度对应项目识别与前端规范准入，包括项目入库、物有所值评价、财政承受能力约束和实施方案审批等内容。这一维度体现的是 PPP 前端程序的规范化程度。第三，C 维度对应采购交易、合同安排与执行绩效，更多反映项目进入具体执行环节后的治理运行状态。第四，D 维度对应风险防控、监督纠偏与退出约束，体现的是治理体系的后端监督与风险处置能力。</w:t>
      </w:r>
    </w:p>
    <w:p w14:paraId="49AE620C">
      <w:pPr>
        <w:spacing w:before="0" w:after="0" w:line="420" w:lineRule="auto"/>
        <w:ind w:firstLine="420"/>
        <w:jc w:val="both"/>
      </w:pPr>
      <w:r>
        <w:rPr>
          <w:rFonts w:ascii="Times New Roman" w:hAnsi="Times New Roman" w:eastAsia="宋体"/>
          <w:sz w:val="24"/>
          <w:szCs w:val="24"/>
        </w:rPr>
        <w:t>按照这一结构，数字化改革最有可能先推动 A 维度改善，并在此基础上通过 B 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 C 维度内容才可能出现较稳定的阶段性响应。相比之下，风险防控和退出约束等 D 维度往往涉及更长周期、更强监督和更复杂的制度反馈，其变化未必会与前端治理同步显现。</w:t>
      </w:r>
    </w:p>
    <w:p w14:paraId="1DEC935D">
      <w:pPr>
        <w:spacing w:before="0" w:after="0" w:line="420" w:lineRule="auto"/>
        <w:ind w:firstLine="420"/>
        <w:jc w:val="both"/>
      </w:pPr>
      <w:r>
        <w:rPr>
          <w:rFonts w:ascii="Times New Roman" w:hAnsi="Times New Roman" w:eastAsia="宋体"/>
          <w:sz w:val="24"/>
          <w:szCs w:val="24"/>
        </w:rP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 A 维度的先行响应、B 到 C 的局部传导，以及部分环节显著而严格中介不足，那么这种结果并不意味着理论失败，而恰恰说明 PPP 治理链条中的改革传导本就具有阶段性、分层性和不完全性。</w:t>
      </w:r>
    </w:p>
    <w:p w14:paraId="22C0CE5F">
      <w:pPr>
        <w:spacing w:before="0" w:after="0" w:line="420" w:lineRule="auto"/>
        <w:ind w:firstLine="420"/>
        <w:jc w:val="both"/>
      </w:pPr>
      <w:r>
        <w:rPr>
          <w:rFonts w:ascii="Times New Roman" w:hAnsi="Times New Roman" w:eastAsia="宋体"/>
          <w:sz w:val="24"/>
          <w:szCs w:val="24"/>
        </w:rPr>
        <w:t>基于上述分析，本文提出第二个研究假设：</w:t>
      </w:r>
    </w:p>
    <w:p w14:paraId="2E9AB6EF">
      <w:pPr>
        <w:spacing w:before="50" w:after="50" w:line="420" w:lineRule="auto"/>
        <w:jc w:val="left"/>
      </w:pPr>
      <w:r>
        <w:rPr>
          <w:rFonts w:ascii="Times New Roman" w:hAnsi="Times New Roman" w:eastAsia="宋体"/>
          <w:b/>
          <w:sz w:val="24"/>
          <w:szCs w:val="24"/>
        </w:rPr>
        <w:t>假说 H2：政务服务数字化改革将优先强化数字治理接口与前端规范准入相关的治理环境，并通过阶段性传导改善 PPP 项目推进结构，但完整、稳定的强中介链条未必成立。</w:t>
      </w:r>
    </w:p>
    <w:p w14:paraId="78BA2F7C">
      <w:pPr>
        <w:spacing w:before="0" w:after="0" w:line="420" w:lineRule="auto"/>
        <w:ind w:firstLine="420"/>
        <w:jc w:val="both"/>
      </w:pPr>
      <w:r>
        <w:rPr>
          <w:rFonts w:ascii="Times New Roman" w:hAnsi="Times New Roman" w:eastAsia="宋体"/>
          <w:sz w:val="24"/>
          <w:szCs w:val="24"/>
        </w:rPr>
        <w:t>H2 的理论含义在于，它为后文机制分析划定了适当的解释边界。后文若发现 A 维度和部分前端治理维度更早发生响应，且局部链条显现而严格中介不足，则应被理解为支持“阶段性传导”的机制逻辑，而不应被拔高为“完整强机制已经成立”的结论。也就是说，本研究的机制分析重点在于识别改革首先改变了哪些治理接口和程序环节，而不是证明一条无断裂、无噪音的完整传导路径。</w:t>
      </w:r>
    </w:p>
    <w:p w14:paraId="549CC562">
      <w:pPr>
        <w:spacing w:before="160" w:after="60" w:line="420" w:lineRule="auto"/>
        <w:jc w:val="left"/>
      </w:pPr>
      <w:r>
        <w:rPr>
          <w:rFonts w:ascii="Times New Roman" w:hAnsi="Times New Roman" w:eastAsia="宋体"/>
          <w:b/>
          <w:sz w:val="28"/>
          <w:szCs w:val="28"/>
        </w:rPr>
        <w:t>3.3 项目级风险识别的扩展命题与理论边界</w:t>
      </w:r>
    </w:p>
    <w:p w14:paraId="4584768D">
      <w:pPr>
        <w:spacing w:before="0" w:after="0" w:line="420" w:lineRule="auto"/>
        <w:ind w:firstLine="420"/>
        <w:jc w:val="both"/>
      </w:pPr>
      <w:r>
        <w:rPr>
          <w:rFonts w:ascii="Times New Roman" w:hAnsi="Times New Roman" w:eastAsia="宋体"/>
          <w:sz w:val="24"/>
          <w:szCs w:val="24"/>
        </w:rPr>
        <w:t>除了省级面板上的治理过程识别之外，本文还进一步关注一个扩展性问题：如果数字化改革确实改变了 PPP 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w14:paraId="6B908506">
      <w:pPr>
        <w:spacing w:before="0" w:after="0" w:line="420" w:lineRule="auto"/>
        <w:ind w:firstLine="420"/>
        <w:jc w:val="both"/>
      </w:pPr>
      <w:r>
        <w:rPr>
          <w:rFonts w:ascii="Times New Roman" w:hAnsi="Times New Roman" w:eastAsia="宋体"/>
          <w:sz w:val="24"/>
          <w:szCs w:val="24"/>
        </w:rP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 PPP 风险问题上，如果标签定义与特征构造不加区分，机器学习模型很容易因标签泄漏而夸大表现，从而模糊“治理识别”和“技术分类”之间的边界。</w:t>
      </w:r>
    </w:p>
    <w:p w14:paraId="7AFAD483">
      <w:pPr>
        <w:spacing w:before="0" w:after="0" w:line="420" w:lineRule="auto"/>
        <w:ind w:firstLine="420"/>
        <w:jc w:val="both"/>
      </w:pPr>
      <w:r>
        <w:rPr>
          <w:rFonts w:ascii="Times New Roman" w:hAnsi="Times New Roman" w:eastAsia="宋体"/>
          <w:sz w:val="24"/>
          <w:szCs w:val="24"/>
        </w:rP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w14:paraId="7A1D6B8D">
      <w:pPr>
        <w:spacing w:before="0" w:after="0" w:line="420" w:lineRule="auto"/>
        <w:ind w:firstLine="420"/>
        <w:jc w:val="both"/>
      </w:pPr>
      <w:r>
        <w:rPr>
          <w:rFonts w:ascii="Times New Roman" w:hAnsi="Times New Roman" w:eastAsia="宋体"/>
          <w:sz w:val="24"/>
          <w:szCs w:val="24"/>
        </w:rP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 treat_share 多期 DID/TWFE 为唯一主识别的研究结构。</w:t>
      </w:r>
    </w:p>
    <w:p w14:paraId="1EF45851">
      <w:pPr>
        <w:spacing w:before="0" w:after="0" w:line="420" w:lineRule="auto"/>
        <w:ind w:firstLine="420"/>
        <w:jc w:val="both"/>
      </w:pPr>
      <w:r>
        <w:rPr>
          <w:rFonts w:ascii="Times New Roman" w:hAnsi="Times New Roman" w:eastAsia="宋体"/>
          <w:sz w:val="24"/>
          <w:szCs w:val="24"/>
        </w:rPr>
        <w:t>综上，本文的理论部分形成了一个层次清晰的分析框架：第一，数字化改革首先通过改善政府内部协同和政策执行效率，推动 PPP 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w14:paraId="202B20E1">
      <w:pPr>
        <w:spacing w:before="160" w:after="60" w:line="420" w:lineRule="auto"/>
        <w:jc w:val="left"/>
      </w:pPr>
      <w:r>
        <w:rPr>
          <w:rFonts w:ascii="Times New Roman" w:hAnsi="Times New Roman" w:eastAsia="宋体"/>
          <w:b/>
          <w:sz w:val="28"/>
          <w:szCs w:val="28"/>
        </w:rPr>
        <w:t>4 研究设计</w:t>
      </w:r>
    </w:p>
    <w:p w14:paraId="107004AD">
      <w:pPr>
        <w:spacing w:before="100" w:after="40" w:line="420" w:lineRule="auto"/>
        <w:jc w:val="left"/>
      </w:pPr>
      <w:r>
        <w:rPr>
          <w:rFonts w:ascii="Times New Roman" w:hAnsi="Times New Roman" w:eastAsia="宋体"/>
          <w:b/>
          <w:sz w:val="25"/>
          <w:szCs w:val="25"/>
        </w:rPr>
        <w:t>4.1 数据来源与样本结构</w:t>
      </w:r>
    </w:p>
    <w:p w14:paraId="50857982">
      <w:pPr>
        <w:spacing w:before="0" w:after="0" w:line="420" w:lineRule="auto"/>
        <w:ind w:firstLine="420"/>
        <w:jc w:val="both"/>
      </w:pPr>
      <w:r>
        <w:rPr>
          <w:rFonts w:ascii="Times New Roman" w:hAnsi="Times New Roman" w:eastAsia="宋体"/>
          <w:sz w:val="24"/>
          <w:szCs w:val="24"/>
        </w:rP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w14:paraId="70C32763">
      <w:pPr>
        <w:spacing w:before="0" w:after="0" w:line="420" w:lineRule="auto"/>
        <w:ind w:firstLine="420"/>
        <w:jc w:val="both"/>
      </w:pPr>
      <w:r>
        <w:t>表1首先呈现PPP政策文本样本在年度维度上的分布及其层级结构。与此前将样本窗口、主题覆盖和回归结果并置于同一表序中的做法不同，本文在此先锁定语料基础：从2014—2025年看，PPP政策文本在2015—2017年明显集中，中央文本与地方文本之间呈现出清晰的层级差异，总字符数、平均篇幅和平均句子数则共同刻画了各年度政策供给强度与文本复杂度。这样的处理有助于把语料规模、时间分布与制度层级的基本轮廓先交代清楚，再进入后文的变量工程与识别设计。</w:t>
      </w:r>
    </w:p>
    <w:p w14:paraId="5533BA6B">
      <w:pPr>
        <w:spacing w:before="0" w:after="0" w:line="420" w:lineRule="auto"/>
        <w:ind w:firstLine="420"/>
        <w:jc w:val="both"/>
      </w:pPr>
    </w:p>
    <w:p w14:paraId="4D07FC22">
      <w:pPr>
        <w:spacing w:before="0" w:after="0" w:line="420" w:lineRule="auto"/>
        <w:ind w:firstLine="420"/>
        <w:jc w:val="both"/>
      </w:pPr>
    </w:p>
    <w:p w14:paraId="17F976E0">
      <w:pPr>
        <w:spacing w:before="0" w:after="0" w:line="420" w:lineRule="auto"/>
        <w:ind w:firstLine="420"/>
        <w:jc w:val="both"/>
      </w:pPr>
    </w:p>
    <w:p w14:paraId="256AF3F5">
      <w:pPr>
        <w:spacing w:before="0" w:after="0" w:line="420" w:lineRule="auto"/>
        <w:ind w:firstLine="420"/>
        <w:jc w:val="both"/>
      </w:pPr>
    </w:p>
    <w:p w14:paraId="000C511E">
      <w:pPr>
        <w:spacing w:before="0" w:after="0" w:line="420" w:lineRule="auto"/>
        <w:ind w:firstLine="420"/>
        <w:jc w:val="both"/>
      </w:pPr>
    </w:p>
    <w:p w14:paraId="026D1910">
      <w:pPr>
        <w:spacing w:before="0" w:after="0" w:line="420" w:lineRule="auto"/>
        <w:ind w:firstLine="420"/>
        <w:jc w:val="both"/>
      </w:pPr>
    </w:p>
    <w:p w14:paraId="56A54A0D">
      <w:pPr>
        <w:spacing w:before="0" w:after="0" w:line="420" w:lineRule="auto"/>
        <w:ind w:firstLine="420"/>
        <w:jc w:val="both"/>
      </w:pPr>
    </w:p>
    <w:p w14:paraId="78B5B591">
      <w:pPr>
        <w:spacing w:before="0" w:after="40" w:line="420" w:lineRule="auto"/>
        <w:jc w:val="center"/>
      </w:pPr>
      <w:r>
        <w:rPr>
          <w:rFonts w:ascii="Times New Roman" w:hAnsi="Times New Roman" w:eastAsia="宋体"/>
          <w:sz w:val="21"/>
          <w:szCs w:val="21"/>
        </w:rPr>
        <w:t>表1 PPP政策文本样本结构与语料覆盖情况</w:t>
      </w:r>
    </w:p>
    <w:p w14:paraId="7BA7EC6B">
      <w:r>
        <w:t>Panel A 年度分布与层级结构</w:t>
      </w:r>
    </w:p>
    <w:tbl>
      <w:tblPr>
        <w:tblStyle w:val="2"/>
        <w:tblW w:w="88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96"/>
        <w:gridCol w:w="1007"/>
        <w:gridCol w:w="1233"/>
        <w:gridCol w:w="1233"/>
        <w:gridCol w:w="1007"/>
        <w:gridCol w:w="2102"/>
        <w:gridCol w:w="1233"/>
      </w:tblGrid>
      <w:tr w14:paraId="64CBC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96" w:type="dxa"/>
            <w:tcBorders>
              <w:top w:val="single" w:color="000000" w:sz="12" w:space="0"/>
              <w:left w:val="nil"/>
              <w:bottom w:val="single" w:color="000000" w:sz="4" w:space="0"/>
              <w:right w:val="nil"/>
              <w:tl2br w:val="nil"/>
            </w:tcBorders>
            <w:shd w:val="clear" w:color="auto" w:fill="FFFFFF"/>
            <w:noWrap w:val="0"/>
            <w:tcMar>
              <w:top w:w="40" w:type="dxa"/>
              <w:left w:w="50" w:type="dxa"/>
              <w:bottom w:w="40" w:type="dxa"/>
              <w:right w:w="50" w:type="dxa"/>
            </w:tcMar>
            <w:vAlign w:val="center"/>
          </w:tcPr>
          <w:p w14:paraId="541593D2">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年份</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7671D5B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文本总数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44BC68E7">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中央文本数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289DFFF6">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地方文本数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4FF978F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总字符数</w:t>
            </w:r>
          </w:p>
        </w:tc>
        <w:tc>
          <w:tcPr>
            <w:tcW w:w="2102"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38DBB260">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平均篇幅（字符）</w:t>
            </w:r>
          </w:p>
        </w:tc>
        <w:tc>
          <w:tcPr>
            <w:tcW w:w="1233"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2625055A">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平均句子数</w:t>
            </w:r>
          </w:p>
        </w:tc>
      </w:tr>
      <w:tr w14:paraId="7138F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2465882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2014</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2135BD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658B4E4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0119ABD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0AD2C9F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88,130</w:t>
            </w:r>
          </w:p>
        </w:tc>
        <w:tc>
          <w:tcPr>
            <w:tcW w:w="2102"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69C72A3D">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3,525.20</w:t>
            </w:r>
          </w:p>
        </w:tc>
        <w:tc>
          <w:tcPr>
            <w:tcW w:w="1233"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5AFA6FA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64.52</w:t>
            </w:r>
          </w:p>
        </w:tc>
      </w:tr>
      <w:tr w14:paraId="40522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594837B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0D4115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547AAE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120A09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CACA49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1,167,069</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6824601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3,422.49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09864F5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62.29</w:t>
            </w:r>
          </w:p>
        </w:tc>
      </w:tr>
      <w:tr w14:paraId="4945B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659143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0B567F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302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8D2AA3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6B474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582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1,127,167</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22F769E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3,732.34</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E9BA88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65.32</w:t>
            </w:r>
          </w:p>
        </w:tc>
      </w:tr>
      <w:tr w14:paraId="70E3B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3EF9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C6A33B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F4853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190CAC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796DA1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1,203,030</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4A6216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3,724.55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E16EA7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62.82</w:t>
            </w:r>
          </w:p>
        </w:tc>
      </w:tr>
      <w:tr w14:paraId="5C0FC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7FA9EDD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39178E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140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34364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5D5BE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0E185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543,578</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3788B1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3,882.70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02281B7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61.89</w:t>
            </w:r>
          </w:p>
        </w:tc>
      </w:tr>
      <w:tr w14:paraId="288CC0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1ADCC71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29CE522">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5B0088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67E26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A73AFB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256,981</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3EA57EB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3,953.55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012FE5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68.43</w:t>
            </w:r>
          </w:p>
        </w:tc>
      </w:tr>
      <w:tr w14:paraId="369F6D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033AF82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64ADF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90D860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D8FDCF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28E4F0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291,202</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7556789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3,271.93</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B55D6B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47.47</w:t>
            </w:r>
          </w:p>
        </w:tc>
      </w:tr>
      <w:tr w14:paraId="1108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0A42C98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41ADD1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81CF05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B32DA2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6BBDD3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217,655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6ED515C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3,627.58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6C53FE3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62.75</w:t>
            </w:r>
          </w:p>
        </w:tc>
      </w:tr>
      <w:tr w14:paraId="48157C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50747BC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BB3C0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A8A200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A85E33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E48E28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190,596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208640B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3,403.50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D42A5E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52.93</w:t>
            </w:r>
          </w:p>
        </w:tc>
      </w:tr>
      <w:tr w14:paraId="4D8E4B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66C916A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F468F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DCBE5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7E4968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31C214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66,766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1FF84F3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3,514.00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3FB2D9C5">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53.16</w:t>
            </w:r>
          </w:p>
        </w:tc>
      </w:tr>
      <w:tr w14:paraId="49E04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281C606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453ABB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D9376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0008EB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C3F7EF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59,873</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99551A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2,064.59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4BA00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12.45</w:t>
            </w:r>
          </w:p>
        </w:tc>
      </w:tr>
      <w:tr w14:paraId="43F19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39FEE58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D6427B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CEA9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37655F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2BA1C5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097E9B9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73D35052">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58.50</w:t>
            </w:r>
          </w:p>
        </w:tc>
      </w:tr>
      <w:tr w14:paraId="68063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2D39FC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无年份</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9945A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B27CEA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DA2277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6316E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28,956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F29357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2,227.38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897307C">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37.08</w:t>
            </w:r>
          </w:p>
        </w:tc>
      </w:tr>
      <w:tr w14:paraId="162BEB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59CA552">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合计</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7570E11">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1,472</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229D2D54">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105</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14003FD">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1,367</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29E23B98">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5,272,818</w:t>
            </w:r>
          </w:p>
        </w:tc>
        <w:tc>
          <w:tcPr>
            <w:tcW w:w="2102"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57F5A3A5">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3,582.08</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7CBCE16B">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60.72</w:t>
            </w:r>
          </w:p>
        </w:tc>
      </w:tr>
    </w:tbl>
    <w:p w14:paraId="4E7AEF4D">
      <w:pPr>
        <w:spacing w:before="0" w:after="0" w:line="420" w:lineRule="auto"/>
        <w:ind w:firstLine="420"/>
        <w:jc w:val="both"/>
      </w:pPr>
      <w:r>
        <w:t>表3进一步展示了V3主面板的样本结构、处理时点与主要变量描述统计。该表的作用不是重复表1，而是把正式主识别所依赖的省级面板口径明确下来：一方面，主面板覆盖2014—2022年，包含32个地区单元，正式基准回归有效样本涉及31个省级单元；另一方面，处理组首次进入处理状态主要集中在2016年，另有少量地区在2017年进入处理，仍有少数地区保持never-treated状态。正是这种跨省份、跨年份的处理时点差异，为后文多期DID/TWFE识别提供了必要基础。</w:t>
      </w:r>
    </w:p>
    <w:p w14:paraId="1D58A06F">
      <w:pPr>
        <w:spacing w:before="0" w:after="40" w:line="420" w:lineRule="auto"/>
        <w:jc w:val="center"/>
      </w:pPr>
      <w:r>
        <w:rPr>
          <w:rFonts w:ascii="Times New Roman" w:hAnsi="Times New Roman" w:eastAsia="宋体"/>
          <w:sz w:val="21"/>
          <w:szCs w:val="21"/>
        </w:rPr>
        <w:t>表3 V3主面板样本结构、处理时点与主要变量描述统计</w:t>
      </w:r>
    </w:p>
    <w:tbl>
      <w:tblPr>
        <w:tblStyle w:val="2"/>
        <w:tblW w:w="918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609"/>
        <w:gridCol w:w="1521"/>
        <w:gridCol w:w="1516"/>
        <w:gridCol w:w="1512"/>
        <w:gridCol w:w="1516"/>
        <w:gridCol w:w="1512"/>
      </w:tblGrid>
      <w:tr w14:paraId="5E484CC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531"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A97EA38">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项目/变量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76C3A8F">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均值或数量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127766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标准差</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7E1CE9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最小值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6145E2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最大值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085EFB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说明</w:t>
            </w:r>
          </w:p>
        </w:tc>
      </w:tr>
      <w:tr w14:paraId="6686098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D601BB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样本期</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297B7E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2014—2022</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AB089CF">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36E9F5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E382A48">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DF0CF3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V3主面板覆盖区间</w:t>
            </w:r>
          </w:p>
        </w:tc>
      </w:tr>
      <w:tr w14:paraId="31BD0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52FD05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地区单元数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860B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32</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F58468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1643383">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02A5764">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6621CA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主面板地区数</w:t>
            </w:r>
          </w:p>
        </w:tc>
      </w:tr>
      <w:tr w14:paraId="7EB4863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C68F17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正式回归地区数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CDFA01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B0675C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5392A86">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C077BE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55BC79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表4有效地区数</w:t>
            </w:r>
          </w:p>
        </w:tc>
      </w:tr>
      <w:tr w14:paraId="21AE468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817C1F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AF0240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DDF57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0F6B66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8F2FA60">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23D999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主要处理批次</w:t>
            </w:r>
          </w:p>
        </w:tc>
      </w:tr>
      <w:tr w14:paraId="0ACB55C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25C234">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78043AE">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E3AAE17">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75726A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45098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D8501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少量后续进入处理</w:t>
            </w:r>
          </w:p>
        </w:tc>
      </w:tr>
      <w:tr w14:paraId="2AD1BF5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F3CA23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Never-treated地区</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C4800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4265EB9">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016CB2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468D2CB">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F9F03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用于DID对照基准</w:t>
            </w:r>
          </w:p>
        </w:tc>
      </w:tr>
      <w:tr w14:paraId="74399C5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70D7A4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treat_share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675C2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0.3008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BD490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0.2793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910816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3059E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A6CC9B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982E28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90ECC1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did_any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51F9DF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6E23DC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0.4561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1DC501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B2585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238B8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94D235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D63F80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did_intensity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E94C67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0.2371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C358F0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0.2803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321D5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965891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3D7B23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BB259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2786A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exec_share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7647CB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E4F40C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0.3413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035F65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4C89E4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2699B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329873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EE285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proc_share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A4F484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0.2794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C4A072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0.3440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557AD1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1F3C6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6D0526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99AD2E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C93B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prep_share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2D1775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0.0145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76CCF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0.0386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6EE124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5C79F7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0.3333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A7CD81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7C7BF34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477A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29D638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0.0055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972555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0.4648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B86300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-2.8557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4E8852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0.4246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C9FED7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F26F5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F1220F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B60CD9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27.5498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26A3D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53.1080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C49B2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D75675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505.6180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297326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0626E7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D686A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01DA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52.2510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379E87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53.6970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EECA6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B0E2B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363.2887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CC408A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4A44DF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049F30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C_idx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0EB3F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143.9109</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AB0A81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106.9286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99CBC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0096C4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380.7391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7443F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74CB22D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C6C2E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51D2C8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29.5266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1A867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34.6515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378C7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640DE9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384.6154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D75F2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06B866D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BEB454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doc_count</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2570C6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4.9023</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1529DD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6.7822</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FC8FF3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C6AA5D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42.0000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05470A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bl>
    <w:p w14:paraId="39E22BC8">
      <w:pPr>
        <w:spacing w:before="0" w:after="0" w:line="420" w:lineRule="auto"/>
        <w:ind w:firstLine="420"/>
        <w:jc w:val="both"/>
      </w:pPr>
      <w:r>
        <w:rPr>
          <w:rFonts w:ascii="Times New Roman" w:hAnsi="Times New Roman" w:eastAsia="宋体"/>
          <w:sz w:val="24"/>
          <w:szCs w:val="24"/>
        </w:rPr>
        <w:t>从公共管理角度看，这样的样本设计意味着本文识别的并不是某一条单独政策文本的即时影响，而是地方政府在一定时期内制度表达、治理重心和改革推进共同作用下的省级治理结果。也正因为如此，主面板中的阶段结构变化应被理解为治理过程变化的结果表现，而不是零散项目事实的简单加总。</w:t>
      </w:r>
    </w:p>
    <w:p w14:paraId="68357A71">
      <w:pPr>
        <w:spacing w:before="100" w:after="40" w:line="420" w:lineRule="auto"/>
        <w:jc w:val="left"/>
      </w:pPr>
      <w:r>
        <w:rPr>
          <w:rFonts w:ascii="Times New Roman" w:hAnsi="Times New Roman" w:eastAsia="宋体"/>
          <w:b/>
          <w:sz w:val="25"/>
          <w:szCs w:val="25"/>
        </w:rPr>
        <w:t>4.2 文本分析与变量落地</w:t>
      </w:r>
    </w:p>
    <w:p w14:paraId="61F65DEB">
      <w:pPr>
        <w:spacing w:before="0" w:after="0" w:line="420" w:lineRule="auto"/>
        <w:ind w:firstLine="420"/>
        <w:jc w:val="both"/>
      </w:pPr>
      <w:r>
        <w:rPr>
          <w:rFonts w:ascii="Times New Roman" w:hAnsi="Times New Roman" w:eastAsia="宋体"/>
          <w:sz w:val="24"/>
          <w:szCs w:val="24"/>
        </w:rP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只有当文本分析结果能够被稳定映射到这些治理维度，并进一步转化为省—年级变量之后，它才真正进入本文的识别框架。</w:t>
      </w:r>
    </w:p>
    <w:p w14:paraId="52911E8E">
      <w:pPr>
        <w:spacing w:before="0" w:after="0" w:line="420" w:lineRule="auto"/>
        <w:ind w:firstLine="420"/>
        <w:jc w:val="both"/>
      </w:pPr>
      <w:r>
        <w:t>在这一点上，表1与表2构成了清晰的前后衔接。表1已经从年度分布与中央—地方层级结构层面展示了政策文本语料的总体轮廓；表2则进一步给出代码本与二级主题框架，说明文档级制度表达如何被映射到A、B、C、D四类治理维度，并最终转译为能够进入省—年面板的正式变量。这样处理的目的，是把文本分析从主题展示推进到变量落地，使其真正服务于后文的治理测度与机制解释。</w:t>
      </w:r>
    </w:p>
    <w:p w14:paraId="75C7868A">
      <w:pPr>
        <w:spacing w:before="0" w:after="0" w:line="420" w:lineRule="auto"/>
        <w:ind w:firstLine="420"/>
        <w:jc w:val="both"/>
      </w:pPr>
    </w:p>
    <w:p w14:paraId="112EFDEB">
      <w:pPr>
        <w:spacing w:before="0" w:after="0" w:line="420" w:lineRule="auto"/>
        <w:ind w:firstLine="420"/>
        <w:jc w:val="both"/>
      </w:pPr>
    </w:p>
    <w:p w14:paraId="66029298">
      <w:pPr>
        <w:spacing w:before="0" w:after="0" w:line="420" w:lineRule="auto"/>
        <w:ind w:firstLine="420"/>
        <w:jc w:val="both"/>
      </w:pPr>
    </w:p>
    <w:p w14:paraId="4127FEE5">
      <w:pPr>
        <w:spacing w:before="0" w:after="0" w:line="420" w:lineRule="auto"/>
        <w:ind w:firstLine="420"/>
        <w:jc w:val="both"/>
      </w:pPr>
    </w:p>
    <w:p w14:paraId="1532047E">
      <w:pPr>
        <w:spacing w:before="0" w:after="0" w:line="420" w:lineRule="auto"/>
        <w:ind w:firstLine="420"/>
        <w:jc w:val="both"/>
      </w:pPr>
    </w:p>
    <w:p w14:paraId="4FD5D492">
      <w:pPr>
        <w:spacing w:before="0" w:after="0" w:line="420" w:lineRule="auto"/>
        <w:ind w:firstLine="420"/>
        <w:jc w:val="both"/>
      </w:pPr>
    </w:p>
    <w:p w14:paraId="55E91CA8">
      <w:pPr>
        <w:spacing w:before="0" w:after="0" w:line="420" w:lineRule="auto"/>
        <w:ind w:firstLine="420"/>
        <w:jc w:val="both"/>
      </w:pPr>
    </w:p>
    <w:p w14:paraId="726CAFC3">
      <w:pPr>
        <w:spacing w:before="0" w:after="0" w:line="420" w:lineRule="auto"/>
        <w:ind w:firstLine="420"/>
        <w:jc w:val="both"/>
      </w:pPr>
    </w:p>
    <w:p w14:paraId="5D053928">
      <w:pPr>
        <w:spacing w:before="0" w:after="0" w:line="420" w:lineRule="auto"/>
        <w:ind w:firstLine="420"/>
        <w:jc w:val="both"/>
      </w:pPr>
    </w:p>
    <w:p w14:paraId="2DC54A27">
      <w:pPr>
        <w:spacing w:before="0" w:after="0" w:line="420" w:lineRule="auto"/>
        <w:ind w:firstLine="420"/>
        <w:jc w:val="both"/>
      </w:pPr>
    </w:p>
    <w:p w14:paraId="60BE6BC6">
      <w:pPr>
        <w:spacing w:before="0" w:after="0" w:line="420" w:lineRule="auto"/>
        <w:jc w:val="both"/>
      </w:pPr>
    </w:p>
    <w:p w14:paraId="4ECA8209">
      <w:pPr>
        <w:spacing w:before="0" w:after="0" w:line="420" w:lineRule="auto"/>
        <w:jc w:val="both"/>
      </w:pPr>
    </w:p>
    <w:p w14:paraId="713622C7">
      <w:pPr>
        <w:spacing w:before="0" w:after="40" w:line="420" w:lineRule="auto"/>
        <w:jc w:val="center"/>
      </w:pPr>
      <w:r>
        <w:rPr>
          <w:rFonts w:ascii="Times New Roman" w:hAnsi="Times New Roman" w:eastAsia="宋体"/>
          <w:sz w:val="21"/>
          <w:szCs w:val="21"/>
        </w:rPr>
        <w:t>表2 政策文本分析框架、主题映射与变量落地</w:t>
      </w:r>
    </w:p>
    <w:p w14:paraId="4B59D11A">
      <w:r>
        <w:t>Panel A 代码本与二级主题框架</w:t>
      </w:r>
    </w:p>
    <w:tbl>
      <w:tblPr>
        <w:tblStyle w:val="2"/>
        <w:tblW w:w="87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38"/>
        <w:gridCol w:w="938"/>
        <w:gridCol w:w="1462"/>
        <w:gridCol w:w="1956"/>
        <w:gridCol w:w="2078"/>
        <w:gridCol w:w="1358"/>
      </w:tblGrid>
      <w:tr w14:paraId="2D65E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38" w:type="dxa"/>
            <w:tcBorders>
              <w:top w:val="single" w:color="auto" w:sz="12" w:space="0"/>
              <w:left w:val="nil"/>
              <w:bottom w:val="nil"/>
              <w:right w:val="nil"/>
            </w:tcBorders>
            <w:noWrap w:val="0"/>
            <w:tcMar>
              <w:top w:w="40" w:type="dxa"/>
              <w:left w:w="50" w:type="dxa"/>
              <w:bottom w:w="40" w:type="dxa"/>
              <w:right w:w="50" w:type="dxa"/>
            </w:tcMar>
            <w:vAlign w:val="center"/>
          </w:tcPr>
          <w:p w14:paraId="745C5D8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一级主题</w:t>
            </w:r>
          </w:p>
        </w:tc>
        <w:tc>
          <w:tcPr>
            <w:tcW w:w="938" w:type="dxa"/>
            <w:tcBorders>
              <w:top w:val="single" w:color="auto" w:sz="12" w:space="0"/>
              <w:left w:val="nil"/>
              <w:bottom w:val="nil"/>
              <w:right w:val="nil"/>
            </w:tcBorders>
            <w:noWrap w:val="0"/>
            <w:tcMar>
              <w:top w:w="40" w:type="dxa"/>
              <w:left w:w="50" w:type="dxa"/>
              <w:bottom w:w="40" w:type="dxa"/>
              <w:right w:w="50" w:type="dxa"/>
            </w:tcMar>
            <w:vAlign w:val="center"/>
          </w:tcPr>
          <w:p w14:paraId="71E34FA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二级代码</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w14:paraId="7AE17722">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二级主题名称</w:t>
            </w:r>
          </w:p>
        </w:tc>
        <w:tc>
          <w:tcPr>
            <w:tcW w:w="1956" w:type="dxa"/>
            <w:tcBorders>
              <w:top w:val="single" w:color="auto" w:sz="12" w:space="0"/>
              <w:left w:val="nil"/>
              <w:bottom w:val="nil"/>
              <w:right w:val="nil"/>
            </w:tcBorders>
            <w:noWrap w:val="0"/>
            <w:tcMar>
              <w:top w:w="40" w:type="dxa"/>
              <w:left w:w="50" w:type="dxa"/>
              <w:bottom w:w="40" w:type="dxa"/>
              <w:right w:w="50" w:type="dxa"/>
            </w:tcMar>
            <w:vAlign w:val="center"/>
          </w:tcPr>
          <w:p w14:paraId="7A83A86E">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操作性定义（简写）</w:t>
            </w:r>
          </w:p>
        </w:tc>
        <w:tc>
          <w:tcPr>
            <w:tcW w:w="2078" w:type="dxa"/>
            <w:tcBorders>
              <w:top w:val="single" w:color="auto" w:sz="12" w:space="0"/>
              <w:left w:val="nil"/>
              <w:bottom w:val="nil"/>
              <w:right w:val="nil"/>
            </w:tcBorders>
            <w:noWrap w:val="0"/>
            <w:tcMar>
              <w:top w:w="40" w:type="dxa"/>
              <w:left w:w="50" w:type="dxa"/>
              <w:bottom w:w="40" w:type="dxa"/>
              <w:right w:w="50" w:type="dxa"/>
            </w:tcMar>
            <w:vAlign w:val="center"/>
          </w:tcPr>
          <w:p w14:paraId="75FC5199">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典型触发词/短语（示例）</w:t>
            </w:r>
          </w:p>
        </w:tc>
        <w:tc>
          <w:tcPr>
            <w:tcW w:w="1358" w:type="dxa"/>
            <w:tcBorders>
              <w:top w:val="single" w:color="auto" w:sz="12" w:space="0"/>
              <w:left w:val="nil"/>
              <w:bottom w:val="nil"/>
              <w:right w:val="nil"/>
            </w:tcBorders>
            <w:noWrap w:val="0"/>
            <w:tcMar>
              <w:top w:w="40" w:type="dxa"/>
              <w:left w:w="50" w:type="dxa"/>
              <w:bottom w:w="40" w:type="dxa"/>
              <w:right w:w="50" w:type="dxa"/>
            </w:tcMar>
            <w:vAlign w:val="center"/>
          </w:tcPr>
          <w:p w14:paraId="59BD6881">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后续变量映射</w:t>
            </w:r>
          </w:p>
        </w:tc>
      </w:tr>
      <w:tr w14:paraId="78195F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single" w:color="auto" w:sz="4" w:space="0"/>
              <w:left w:val="nil"/>
              <w:bottom w:val="nil"/>
              <w:right w:val="nil"/>
            </w:tcBorders>
            <w:noWrap w:val="0"/>
            <w:tcMar>
              <w:top w:w="40" w:type="dxa"/>
              <w:left w:w="50" w:type="dxa"/>
              <w:bottom w:w="40" w:type="dxa"/>
              <w:right w:w="50" w:type="dxa"/>
            </w:tcMar>
            <w:vAlign w:val="center"/>
          </w:tcPr>
          <w:p w14:paraId="16215BE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single" w:color="auto" w:sz="4" w:space="0"/>
              <w:left w:val="nil"/>
              <w:bottom w:val="nil"/>
              <w:right w:val="nil"/>
            </w:tcBorders>
            <w:noWrap w:val="0"/>
            <w:tcMar>
              <w:top w:w="40" w:type="dxa"/>
              <w:left w:w="50" w:type="dxa"/>
              <w:bottom w:w="40" w:type="dxa"/>
              <w:right w:w="50" w:type="dxa"/>
            </w:tcMar>
            <w:vAlign w:val="center"/>
          </w:tcPr>
          <w:p w14:paraId="55E38E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w14:paraId="588D68A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平台建设与在线办理</w:t>
            </w:r>
          </w:p>
        </w:tc>
        <w:tc>
          <w:tcPr>
            <w:tcW w:w="1956" w:type="dxa"/>
            <w:tcBorders>
              <w:top w:val="single" w:color="auto" w:sz="4" w:space="0"/>
              <w:left w:val="nil"/>
              <w:bottom w:val="nil"/>
              <w:right w:val="nil"/>
            </w:tcBorders>
            <w:noWrap w:val="0"/>
            <w:tcMar>
              <w:top w:w="40" w:type="dxa"/>
              <w:left w:w="50" w:type="dxa"/>
              <w:bottom w:w="40" w:type="dxa"/>
              <w:right w:w="50" w:type="dxa"/>
            </w:tcMar>
            <w:vAlign w:val="center"/>
          </w:tcPr>
          <w:p w14:paraId="005A375B">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PPP管理、审批、受理、流程办理的线上平台化表达</w:t>
            </w:r>
          </w:p>
        </w:tc>
        <w:tc>
          <w:tcPr>
            <w:tcW w:w="2078" w:type="dxa"/>
            <w:tcBorders>
              <w:top w:val="single" w:color="auto" w:sz="4" w:space="0"/>
              <w:left w:val="nil"/>
              <w:bottom w:val="nil"/>
              <w:right w:val="nil"/>
            </w:tcBorders>
            <w:noWrap w:val="0"/>
            <w:tcMar>
              <w:top w:w="40" w:type="dxa"/>
              <w:left w:w="50" w:type="dxa"/>
              <w:bottom w:w="40" w:type="dxa"/>
              <w:right w:w="50" w:type="dxa"/>
            </w:tcMar>
            <w:vAlign w:val="center"/>
          </w:tcPr>
          <w:p w14:paraId="593937D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平台、系统、在线办理、网上审批、一网通办</w:t>
            </w:r>
          </w:p>
        </w:tc>
        <w:tc>
          <w:tcPr>
            <w:tcW w:w="1358" w:type="dxa"/>
            <w:tcBorders>
              <w:top w:val="single" w:color="auto" w:sz="4" w:space="0"/>
              <w:left w:val="nil"/>
              <w:bottom w:val="nil"/>
              <w:right w:val="nil"/>
            </w:tcBorders>
            <w:noWrap w:val="0"/>
            <w:tcMar>
              <w:top w:w="40" w:type="dxa"/>
              <w:left w:w="50" w:type="dxa"/>
              <w:bottom w:w="40" w:type="dxa"/>
              <w:right w:w="50" w:type="dxa"/>
            </w:tcMar>
            <w:vAlign w:val="center"/>
          </w:tcPr>
          <w:p w14:paraId="5F474AF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A1_idx / A_idx</w:t>
            </w:r>
          </w:p>
        </w:tc>
      </w:tr>
      <w:tr w14:paraId="6D4F3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F47C6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w14:paraId="0385F30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w:t>
            </w:r>
          </w:p>
        </w:tc>
        <w:tc>
          <w:tcPr>
            <w:tcW w:w="0" w:type="auto"/>
            <w:tcBorders>
              <w:top w:val="nil"/>
              <w:left w:val="nil"/>
              <w:bottom w:val="nil"/>
              <w:right w:val="nil"/>
            </w:tcBorders>
            <w:noWrap w:val="0"/>
            <w:tcMar>
              <w:top w:w="40" w:type="dxa"/>
              <w:left w:w="50" w:type="dxa"/>
              <w:bottom w:w="40" w:type="dxa"/>
              <w:right w:w="50" w:type="dxa"/>
            </w:tcMar>
            <w:vAlign w:val="center"/>
          </w:tcPr>
          <w:p w14:paraId="2E913B1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数据共享与动态报送</w:t>
            </w:r>
          </w:p>
        </w:tc>
        <w:tc>
          <w:tcPr>
            <w:tcW w:w="1956" w:type="dxa"/>
            <w:tcBorders>
              <w:top w:val="nil"/>
              <w:left w:val="nil"/>
              <w:bottom w:val="nil"/>
              <w:right w:val="nil"/>
            </w:tcBorders>
            <w:noWrap w:val="0"/>
            <w:tcMar>
              <w:top w:w="40" w:type="dxa"/>
              <w:left w:w="50" w:type="dxa"/>
              <w:bottom w:w="40" w:type="dxa"/>
              <w:right w:w="50" w:type="dxa"/>
            </w:tcMar>
            <w:vAlign w:val="center"/>
          </w:tcPr>
          <w:p w14:paraId="606B903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跨部门数据共享、动态更新、监测台账、接口对接</w:t>
            </w:r>
          </w:p>
        </w:tc>
        <w:tc>
          <w:tcPr>
            <w:tcW w:w="2078" w:type="dxa"/>
            <w:tcBorders>
              <w:top w:val="nil"/>
              <w:left w:val="nil"/>
              <w:bottom w:val="nil"/>
              <w:right w:val="nil"/>
            </w:tcBorders>
            <w:noWrap w:val="0"/>
            <w:tcMar>
              <w:top w:w="40" w:type="dxa"/>
              <w:left w:w="50" w:type="dxa"/>
              <w:bottom w:w="40" w:type="dxa"/>
              <w:right w:w="50" w:type="dxa"/>
            </w:tcMar>
            <w:vAlign w:val="center"/>
          </w:tcPr>
          <w:p w14:paraId="288DD9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数据共享、归集、动态报送、数据接口、互联互通</w:t>
            </w:r>
          </w:p>
        </w:tc>
        <w:tc>
          <w:tcPr>
            <w:tcW w:w="1358" w:type="dxa"/>
            <w:tcBorders>
              <w:top w:val="nil"/>
              <w:left w:val="nil"/>
              <w:bottom w:val="nil"/>
              <w:right w:val="nil"/>
            </w:tcBorders>
            <w:noWrap w:val="0"/>
            <w:tcMar>
              <w:top w:w="40" w:type="dxa"/>
              <w:left w:w="50" w:type="dxa"/>
              <w:bottom w:w="40" w:type="dxa"/>
              <w:right w:w="50" w:type="dxa"/>
            </w:tcMar>
            <w:vAlign w:val="center"/>
          </w:tcPr>
          <w:p w14:paraId="746D468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A2_idx / A_idx</w:t>
            </w:r>
          </w:p>
        </w:tc>
      </w:tr>
      <w:tr w14:paraId="1CFB5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752F5ED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w14:paraId="62B2567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w:t>
            </w:r>
          </w:p>
        </w:tc>
        <w:tc>
          <w:tcPr>
            <w:tcW w:w="0" w:type="auto"/>
            <w:tcBorders>
              <w:top w:val="nil"/>
              <w:left w:val="nil"/>
              <w:bottom w:val="nil"/>
              <w:right w:val="nil"/>
            </w:tcBorders>
            <w:noWrap w:val="0"/>
            <w:tcMar>
              <w:top w:w="40" w:type="dxa"/>
              <w:left w:w="50" w:type="dxa"/>
              <w:bottom w:w="40" w:type="dxa"/>
              <w:right w:w="50" w:type="dxa"/>
            </w:tcMar>
            <w:vAlign w:val="center"/>
          </w:tcPr>
          <w:p w14:paraId="0D01FD6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信息公开与透明协同</w:t>
            </w:r>
          </w:p>
        </w:tc>
        <w:tc>
          <w:tcPr>
            <w:tcW w:w="1956" w:type="dxa"/>
            <w:tcBorders>
              <w:top w:val="nil"/>
              <w:left w:val="nil"/>
              <w:bottom w:val="nil"/>
              <w:right w:val="nil"/>
            </w:tcBorders>
            <w:noWrap w:val="0"/>
            <w:tcMar>
              <w:top w:w="40" w:type="dxa"/>
              <w:left w:w="50" w:type="dxa"/>
              <w:bottom w:w="40" w:type="dxa"/>
              <w:right w:w="50" w:type="dxa"/>
            </w:tcMar>
            <w:vAlign w:val="center"/>
          </w:tcPr>
          <w:p w14:paraId="102BC89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项目公示、披露、过程透明、社会监督便利性</w:t>
            </w:r>
          </w:p>
        </w:tc>
        <w:tc>
          <w:tcPr>
            <w:tcW w:w="2078" w:type="dxa"/>
            <w:tcBorders>
              <w:top w:val="nil"/>
              <w:left w:val="nil"/>
              <w:bottom w:val="nil"/>
              <w:right w:val="nil"/>
            </w:tcBorders>
            <w:noWrap w:val="0"/>
            <w:tcMar>
              <w:top w:w="40" w:type="dxa"/>
              <w:left w:w="50" w:type="dxa"/>
              <w:bottom w:w="40" w:type="dxa"/>
              <w:right w:w="50" w:type="dxa"/>
            </w:tcMar>
            <w:vAlign w:val="center"/>
          </w:tcPr>
          <w:p w14:paraId="72726F2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信息公开、公示、披露、透明、公告、社会监督</w:t>
            </w:r>
          </w:p>
        </w:tc>
        <w:tc>
          <w:tcPr>
            <w:tcW w:w="1358" w:type="dxa"/>
            <w:tcBorders>
              <w:top w:val="nil"/>
              <w:left w:val="nil"/>
              <w:bottom w:val="nil"/>
              <w:right w:val="nil"/>
            </w:tcBorders>
            <w:noWrap w:val="0"/>
            <w:tcMar>
              <w:top w:w="40" w:type="dxa"/>
              <w:left w:w="50" w:type="dxa"/>
              <w:bottom w:w="40" w:type="dxa"/>
              <w:right w:w="50" w:type="dxa"/>
            </w:tcMar>
            <w:vAlign w:val="center"/>
          </w:tcPr>
          <w:p w14:paraId="5F25CEF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A3_idx / A_idx</w:t>
            </w:r>
          </w:p>
        </w:tc>
      </w:tr>
      <w:tr w14:paraId="31C086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CD84CE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5FD79B8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w:t>
            </w:r>
          </w:p>
        </w:tc>
        <w:tc>
          <w:tcPr>
            <w:tcW w:w="0" w:type="auto"/>
            <w:tcBorders>
              <w:top w:val="nil"/>
              <w:left w:val="nil"/>
              <w:bottom w:val="nil"/>
              <w:right w:val="nil"/>
            </w:tcBorders>
            <w:noWrap w:val="0"/>
            <w:tcMar>
              <w:top w:w="40" w:type="dxa"/>
              <w:left w:w="50" w:type="dxa"/>
              <w:bottom w:w="40" w:type="dxa"/>
              <w:right w:w="50" w:type="dxa"/>
            </w:tcMar>
            <w:vAlign w:val="center"/>
          </w:tcPr>
          <w:p w14:paraId="48BBBA7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项目识别、筛选与入库</w:t>
            </w:r>
          </w:p>
        </w:tc>
        <w:tc>
          <w:tcPr>
            <w:tcW w:w="1956" w:type="dxa"/>
            <w:tcBorders>
              <w:top w:val="nil"/>
              <w:left w:val="nil"/>
              <w:bottom w:val="nil"/>
              <w:right w:val="nil"/>
            </w:tcBorders>
            <w:noWrap w:val="0"/>
            <w:tcMar>
              <w:top w:w="40" w:type="dxa"/>
              <w:left w:w="50" w:type="dxa"/>
              <w:bottom w:w="40" w:type="dxa"/>
              <w:right w:w="50" w:type="dxa"/>
            </w:tcMar>
            <w:vAlign w:val="center"/>
          </w:tcPr>
          <w:p w14:paraId="1F5BFB76">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PPP项目识别、储备、筛选、遴选、入库管理</w:t>
            </w:r>
          </w:p>
        </w:tc>
        <w:tc>
          <w:tcPr>
            <w:tcW w:w="2078" w:type="dxa"/>
            <w:tcBorders>
              <w:top w:val="nil"/>
              <w:left w:val="nil"/>
              <w:bottom w:val="nil"/>
              <w:right w:val="nil"/>
            </w:tcBorders>
            <w:noWrap w:val="0"/>
            <w:tcMar>
              <w:top w:w="40" w:type="dxa"/>
              <w:left w:w="50" w:type="dxa"/>
              <w:bottom w:w="40" w:type="dxa"/>
              <w:right w:w="50" w:type="dxa"/>
            </w:tcMar>
            <w:vAlign w:val="center"/>
          </w:tcPr>
          <w:p w14:paraId="20D083D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项目识别、项目储备库、入库、备选项目、适宜采用</w:t>
            </w:r>
          </w:p>
        </w:tc>
        <w:tc>
          <w:tcPr>
            <w:tcW w:w="1358" w:type="dxa"/>
            <w:tcBorders>
              <w:top w:val="nil"/>
              <w:left w:val="nil"/>
              <w:bottom w:val="nil"/>
              <w:right w:val="nil"/>
            </w:tcBorders>
            <w:noWrap w:val="0"/>
            <w:tcMar>
              <w:top w:w="40" w:type="dxa"/>
              <w:left w:w="50" w:type="dxa"/>
              <w:bottom w:w="40" w:type="dxa"/>
              <w:right w:w="50" w:type="dxa"/>
            </w:tcMar>
            <w:vAlign w:val="center"/>
          </w:tcPr>
          <w:p w14:paraId="66A9FEC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B1_idx / B_idx</w:t>
            </w:r>
          </w:p>
        </w:tc>
      </w:tr>
      <w:tr w14:paraId="6D2AB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9D4C1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5AB6DFA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w:t>
            </w:r>
          </w:p>
        </w:tc>
        <w:tc>
          <w:tcPr>
            <w:tcW w:w="0" w:type="auto"/>
            <w:tcBorders>
              <w:top w:val="nil"/>
              <w:left w:val="nil"/>
              <w:bottom w:val="nil"/>
              <w:right w:val="nil"/>
            </w:tcBorders>
            <w:noWrap w:val="0"/>
            <w:tcMar>
              <w:top w:w="40" w:type="dxa"/>
              <w:left w:w="50" w:type="dxa"/>
              <w:bottom w:w="40" w:type="dxa"/>
              <w:right w:w="50" w:type="dxa"/>
            </w:tcMar>
            <w:vAlign w:val="center"/>
          </w:tcPr>
          <w:p w14:paraId="5B1EC3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财政承受能力与物有所值论证</w:t>
            </w:r>
          </w:p>
        </w:tc>
        <w:tc>
          <w:tcPr>
            <w:tcW w:w="1956" w:type="dxa"/>
            <w:tcBorders>
              <w:top w:val="nil"/>
              <w:left w:val="nil"/>
              <w:bottom w:val="nil"/>
              <w:right w:val="nil"/>
            </w:tcBorders>
            <w:noWrap w:val="0"/>
            <w:tcMar>
              <w:top w:w="40" w:type="dxa"/>
              <w:left w:w="50" w:type="dxa"/>
              <w:bottom w:w="40" w:type="dxa"/>
              <w:right w:w="50" w:type="dxa"/>
            </w:tcMar>
            <w:vAlign w:val="center"/>
          </w:tcPr>
          <w:p w14:paraId="13EB8D7F">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财承、VFM、支出责任、预算约束与财务测算</w:t>
            </w:r>
          </w:p>
        </w:tc>
        <w:tc>
          <w:tcPr>
            <w:tcW w:w="2078" w:type="dxa"/>
            <w:tcBorders>
              <w:top w:val="nil"/>
              <w:left w:val="nil"/>
              <w:bottom w:val="nil"/>
              <w:right w:val="nil"/>
            </w:tcBorders>
            <w:noWrap w:val="0"/>
            <w:tcMar>
              <w:top w:w="40" w:type="dxa"/>
              <w:left w:w="50" w:type="dxa"/>
              <w:bottom w:w="40" w:type="dxa"/>
              <w:right w:w="50" w:type="dxa"/>
            </w:tcMar>
            <w:vAlign w:val="center"/>
          </w:tcPr>
          <w:p w14:paraId="5CB660B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财政承受能力、物有所值、VFM、支出责任、预算约束</w:t>
            </w:r>
          </w:p>
        </w:tc>
        <w:tc>
          <w:tcPr>
            <w:tcW w:w="1358" w:type="dxa"/>
            <w:tcBorders>
              <w:top w:val="nil"/>
              <w:left w:val="nil"/>
              <w:bottom w:val="nil"/>
              <w:right w:val="nil"/>
            </w:tcBorders>
            <w:noWrap w:val="0"/>
            <w:tcMar>
              <w:top w:w="40" w:type="dxa"/>
              <w:left w:w="50" w:type="dxa"/>
              <w:bottom w:w="40" w:type="dxa"/>
              <w:right w:w="50" w:type="dxa"/>
            </w:tcMar>
            <w:vAlign w:val="center"/>
          </w:tcPr>
          <w:p w14:paraId="17C190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B2_idx / B_idx</w:t>
            </w:r>
          </w:p>
        </w:tc>
      </w:tr>
      <w:tr w14:paraId="3B512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48A327A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431BEA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w:t>
            </w:r>
          </w:p>
        </w:tc>
        <w:tc>
          <w:tcPr>
            <w:tcW w:w="0" w:type="auto"/>
            <w:tcBorders>
              <w:top w:val="nil"/>
              <w:left w:val="nil"/>
              <w:bottom w:val="nil"/>
              <w:right w:val="nil"/>
            </w:tcBorders>
            <w:noWrap w:val="0"/>
            <w:tcMar>
              <w:top w:w="40" w:type="dxa"/>
              <w:left w:w="50" w:type="dxa"/>
              <w:bottom w:w="40" w:type="dxa"/>
              <w:right w:w="50" w:type="dxa"/>
            </w:tcMar>
            <w:vAlign w:val="center"/>
          </w:tcPr>
          <w:p w14:paraId="7974685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实施方案设计与审批程序</w:t>
            </w:r>
          </w:p>
        </w:tc>
        <w:tc>
          <w:tcPr>
            <w:tcW w:w="1956" w:type="dxa"/>
            <w:tcBorders>
              <w:top w:val="nil"/>
              <w:left w:val="nil"/>
              <w:bottom w:val="nil"/>
              <w:right w:val="nil"/>
            </w:tcBorders>
            <w:noWrap w:val="0"/>
            <w:tcMar>
              <w:top w:w="40" w:type="dxa"/>
              <w:left w:w="50" w:type="dxa"/>
              <w:bottom w:w="40" w:type="dxa"/>
              <w:right w:w="50" w:type="dxa"/>
            </w:tcMar>
            <w:vAlign w:val="center"/>
          </w:tcPr>
          <w:p w14:paraId="0C2B0F5C">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实施方案编制、审议、批复、备案、联审联批</w:t>
            </w:r>
          </w:p>
        </w:tc>
        <w:tc>
          <w:tcPr>
            <w:tcW w:w="2078" w:type="dxa"/>
            <w:tcBorders>
              <w:top w:val="nil"/>
              <w:left w:val="nil"/>
              <w:bottom w:val="nil"/>
              <w:right w:val="nil"/>
            </w:tcBorders>
            <w:noWrap w:val="0"/>
            <w:tcMar>
              <w:top w:w="40" w:type="dxa"/>
              <w:left w:w="50" w:type="dxa"/>
              <w:bottom w:w="40" w:type="dxa"/>
              <w:right w:w="50" w:type="dxa"/>
            </w:tcMar>
            <w:vAlign w:val="center"/>
          </w:tcPr>
          <w:p w14:paraId="4F24E25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实施方案、审批程序、审议、批复、备案、论证</w:t>
            </w:r>
          </w:p>
        </w:tc>
        <w:tc>
          <w:tcPr>
            <w:tcW w:w="1358" w:type="dxa"/>
            <w:tcBorders>
              <w:top w:val="nil"/>
              <w:left w:val="nil"/>
              <w:bottom w:val="nil"/>
              <w:right w:val="nil"/>
            </w:tcBorders>
            <w:noWrap w:val="0"/>
            <w:tcMar>
              <w:top w:w="40" w:type="dxa"/>
              <w:left w:w="50" w:type="dxa"/>
              <w:bottom w:w="40" w:type="dxa"/>
              <w:right w:w="50" w:type="dxa"/>
            </w:tcMar>
            <w:vAlign w:val="center"/>
          </w:tcPr>
          <w:p w14:paraId="2700B7E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B3_idx / B_idx</w:t>
            </w:r>
          </w:p>
        </w:tc>
      </w:tr>
      <w:tr w14:paraId="421228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53A4EAD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4BF7E5E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w:t>
            </w:r>
          </w:p>
        </w:tc>
        <w:tc>
          <w:tcPr>
            <w:tcW w:w="0" w:type="auto"/>
            <w:tcBorders>
              <w:top w:val="nil"/>
              <w:left w:val="nil"/>
              <w:bottom w:val="nil"/>
              <w:right w:val="nil"/>
            </w:tcBorders>
            <w:noWrap w:val="0"/>
            <w:tcMar>
              <w:top w:w="40" w:type="dxa"/>
              <w:left w:w="50" w:type="dxa"/>
              <w:bottom w:w="40" w:type="dxa"/>
              <w:right w:w="50" w:type="dxa"/>
            </w:tcMar>
            <w:vAlign w:val="center"/>
          </w:tcPr>
          <w:p w14:paraId="2BB80A6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社会资本采购与竞争配置</w:t>
            </w:r>
          </w:p>
        </w:tc>
        <w:tc>
          <w:tcPr>
            <w:tcW w:w="1956" w:type="dxa"/>
            <w:tcBorders>
              <w:top w:val="nil"/>
              <w:left w:val="nil"/>
              <w:bottom w:val="nil"/>
              <w:right w:val="nil"/>
            </w:tcBorders>
            <w:noWrap w:val="0"/>
            <w:tcMar>
              <w:top w:w="40" w:type="dxa"/>
              <w:left w:w="50" w:type="dxa"/>
              <w:bottom w:w="40" w:type="dxa"/>
              <w:right w:w="50" w:type="dxa"/>
            </w:tcMar>
            <w:vAlign w:val="center"/>
          </w:tcPr>
          <w:p w14:paraId="214A164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招标采购、资格预审、评标、中标与竞争配置</w:t>
            </w:r>
          </w:p>
        </w:tc>
        <w:tc>
          <w:tcPr>
            <w:tcW w:w="2078" w:type="dxa"/>
            <w:tcBorders>
              <w:top w:val="nil"/>
              <w:left w:val="nil"/>
              <w:bottom w:val="nil"/>
              <w:right w:val="nil"/>
            </w:tcBorders>
            <w:noWrap w:val="0"/>
            <w:tcMar>
              <w:top w:w="40" w:type="dxa"/>
              <w:left w:w="50" w:type="dxa"/>
              <w:bottom w:w="40" w:type="dxa"/>
              <w:right w:w="50" w:type="dxa"/>
            </w:tcMar>
            <w:vAlign w:val="center"/>
          </w:tcPr>
          <w:p w14:paraId="0826A19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采购、公开招标、竞争性磋商、资格预审、中标</w:t>
            </w:r>
          </w:p>
        </w:tc>
        <w:tc>
          <w:tcPr>
            <w:tcW w:w="1358" w:type="dxa"/>
            <w:tcBorders>
              <w:top w:val="nil"/>
              <w:left w:val="nil"/>
              <w:bottom w:val="nil"/>
              <w:right w:val="nil"/>
            </w:tcBorders>
            <w:noWrap w:val="0"/>
            <w:tcMar>
              <w:top w:w="40" w:type="dxa"/>
              <w:left w:w="50" w:type="dxa"/>
              <w:bottom w:w="40" w:type="dxa"/>
              <w:right w:w="50" w:type="dxa"/>
            </w:tcMar>
            <w:vAlign w:val="center"/>
          </w:tcPr>
          <w:p w14:paraId="0DC1D29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C1_idx / C_idx</w:t>
            </w:r>
          </w:p>
        </w:tc>
      </w:tr>
      <w:tr w14:paraId="035027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6F8C71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30C7E0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w:t>
            </w:r>
          </w:p>
        </w:tc>
        <w:tc>
          <w:tcPr>
            <w:tcW w:w="0" w:type="auto"/>
            <w:tcBorders>
              <w:top w:val="nil"/>
              <w:left w:val="nil"/>
              <w:bottom w:val="nil"/>
              <w:right w:val="nil"/>
            </w:tcBorders>
            <w:noWrap w:val="0"/>
            <w:tcMar>
              <w:top w:w="40" w:type="dxa"/>
              <w:left w:w="50" w:type="dxa"/>
              <w:bottom w:w="40" w:type="dxa"/>
              <w:right w:w="50" w:type="dxa"/>
            </w:tcMar>
            <w:vAlign w:val="center"/>
          </w:tcPr>
          <w:p w14:paraId="7A0067F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合同设计、权责配置与收益安排</w:t>
            </w:r>
          </w:p>
        </w:tc>
        <w:tc>
          <w:tcPr>
            <w:tcW w:w="1956" w:type="dxa"/>
            <w:tcBorders>
              <w:top w:val="nil"/>
              <w:left w:val="nil"/>
              <w:bottom w:val="nil"/>
              <w:right w:val="nil"/>
            </w:tcBorders>
            <w:noWrap w:val="0"/>
            <w:tcMar>
              <w:top w:w="40" w:type="dxa"/>
              <w:left w:w="50" w:type="dxa"/>
              <w:bottom w:w="40" w:type="dxa"/>
              <w:right w:w="50" w:type="dxa"/>
            </w:tcMar>
            <w:vAlign w:val="center"/>
          </w:tcPr>
          <w:p w14:paraId="718E9AB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PPP合同、风险分担、回报机制、付费方式、收益安排</w:t>
            </w:r>
          </w:p>
        </w:tc>
        <w:tc>
          <w:tcPr>
            <w:tcW w:w="2078" w:type="dxa"/>
            <w:tcBorders>
              <w:top w:val="nil"/>
              <w:left w:val="nil"/>
              <w:bottom w:val="nil"/>
              <w:right w:val="nil"/>
            </w:tcBorders>
            <w:noWrap w:val="0"/>
            <w:tcMar>
              <w:top w:w="40" w:type="dxa"/>
              <w:left w:w="50" w:type="dxa"/>
              <w:bottom w:w="40" w:type="dxa"/>
              <w:right w:w="50" w:type="dxa"/>
            </w:tcMar>
            <w:vAlign w:val="center"/>
          </w:tcPr>
          <w:p w14:paraId="0FE8D8E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合同、权利义务、风险分担、回报机制、政府付费</w:t>
            </w:r>
          </w:p>
        </w:tc>
        <w:tc>
          <w:tcPr>
            <w:tcW w:w="1358" w:type="dxa"/>
            <w:tcBorders>
              <w:top w:val="nil"/>
              <w:left w:val="nil"/>
              <w:bottom w:val="nil"/>
              <w:right w:val="nil"/>
            </w:tcBorders>
            <w:noWrap w:val="0"/>
            <w:tcMar>
              <w:top w:w="40" w:type="dxa"/>
              <w:left w:w="50" w:type="dxa"/>
              <w:bottom w:w="40" w:type="dxa"/>
              <w:right w:w="50" w:type="dxa"/>
            </w:tcMar>
            <w:vAlign w:val="center"/>
          </w:tcPr>
          <w:p w14:paraId="67915D8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C2_idx / C_idx</w:t>
            </w:r>
          </w:p>
        </w:tc>
      </w:tr>
      <w:tr w14:paraId="7E437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AB80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2C1824B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w:t>
            </w:r>
          </w:p>
        </w:tc>
        <w:tc>
          <w:tcPr>
            <w:tcW w:w="0" w:type="auto"/>
            <w:tcBorders>
              <w:top w:val="nil"/>
              <w:left w:val="nil"/>
              <w:bottom w:val="nil"/>
              <w:right w:val="nil"/>
            </w:tcBorders>
            <w:noWrap w:val="0"/>
            <w:tcMar>
              <w:top w:w="40" w:type="dxa"/>
              <w:left w:w="50" w:type="dxa"/>
              <w:bottom w:w="40" w:type="dxa"/>
              <w:right w:w="50" w:type="dxa"/>
            </w:tcMar>
            <w:vAlign w:val="center"/>
          </w:tcPr>
          <w:p w14:paraId="6C80823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项目执行、绩效评价与运营维护</w:t>
            </w:r>
          </w:p>
        </w:tc>
        <w:tc>
          <w:tcPr>
            <w:tcW w:w="1956" w:type="dxa"/>
            <w:tcBorders>
              <w:top w:val="nil"/>
              <w:left w:val="nil"/>
              <w:bottom w:val="nil"/>
              <w:right w:val="nil"/>
            </w:tcBorders>
            <w:noWrap w:val="0"/>
            <w:tcMar>
              <w:top w:w="40" w:type="dxa"/>
              <w:left w:w="50" w:type="dxa"/>
              <w:bottom w:w="40" w:type="dxa"/>
              <w:right w:w="50" w:type="dxa"/>
            </w:tcMar>
            <w:vAlign w:val="center"/>
          </w:tcPr>
          <w:p w14:paraId="4F0279B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项目实施、建设推进、运营管理、绩效考核、后评价</w:t>
            </w:r>
          </w:p>
        </w:tc>
        <w:tc>
          <w:tcPr>
            <w:tcW w:w="2078" w:type="dxa"/>
            <w:tcBorders>
              <w:top w:val="nil"/>
              <w:left w:val="nil"/>
              <w:bottom w:val="nil"/>
              <w:right w:val="nil"/>
            </w:tcBorders>
            <w:noWrap w:val="0"/>
            <w:tcMar>
              <w:top w:w="40" w:type="dxa"/>
              <w:left w:w="50" w:type="dxa"/>
              <w:bottom w:w="40" w:type="dxa"/>
              <w:right w:w="50" w:type="dxa"/>
            </w:tcMar>
            <w:vAlign w:val="center"/>
          </w:tcPr>
          <w:p w14:paraId="02A29D7E">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实施、执行、推进、运营、维护、绩效评价、验收</w:t>
            </w:r>
          </w:p>
        </w:tc>
        <w:tc>
          <w:tcPr>
            <w:tcW w:w="1358" w:type="dxa"/>
            <w:tcBorders>
              <w:top w:val="nil"/>
              <w:left w:val="nil"/>
              <w:bottom w:val="nil"/>
              <w:right w:val="nil"/>
            </w:tcBorders>
            <w:noWrap w:val="0"/>
            <w:tcMar>
              <w:top w:w="40" w:type="dxa"/>
              <w:left w:w="50" w:type="dxa"/>
              <w:bottom w:w="40" w:type="dxa"/>
              <w:right w:w="50" w:type="dxa"/>
            </w:tcMar>
            <w:vAlign w:val="center"/>
          </w:tcPr>
          <w:p w14:paraId="3ED9617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C3_idx / C_idx</w:t>
            </w:r>
          </w:p>
        </w:tc>
      </w:tr>
      <w:tr w14:paraId="1F4BD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BD42C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w14:paraId="25194B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w:t>
            </w:r>
          </w:p>
        </w:tc>
        <w:tc>
          <w:tcPr>
            <w:tcW w:w="0" w:type="auto"/>
            <w:tcBorders>
              <w:top w:val="nil"/>
              <w:left w:val="nil"/>
              <w:bottom w:val="nil"/>
              <w:right w:val="nil"/>
            </w:tcBorders>
            <w:noWrap w:val="0"/>
            <w:tcMar>
              <w:top w:w="40" w:type="dxa"/>
              <w:left w:w="50" w:type="dxa"/>
              <w:bottom w:w="40" w:type="dxa"/>
              <w:right w:w="50" w:type="dxa"/>
            </w:tcMar>
            <w:vAlign w:val="center"/>
          </w:tcPr>
          <w:p w14:paraId="5D38B15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财政约束、债务底线与责任风险</w:t>
            </w:r>
          </w:p>
        </w:tc>
        <w:tc>
          <w:tcPr>
            <w:tcW w:w="1956" w:type="dxa"/>
            <w:tcBorders>
              <w:top w:val="nil"/>
              <w:left w:val="nil"/>
              <w:bottom w:val="nil"/>
              <w:right w:val="nil"/>
            </w:tcBorders>
            <w:noWrap w:val="0"/>
            <w:tcMar>
              <w:top w:w="40" w:type="dxa"/>
              <w:left w:w="50" w:type="dxa"/>
              <w:bottom w:w="40" w:type="dxa"/>
              <w:right w:w="50" w:type="dxa"/>
            </w:tcMar>
            <w:vAlign w:val="center"/>
          </w:tcPr>
          <w:p w14:paraId="316699D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财政风险、债务约束、隐性债务、底线管理</w:t>
            </w:r>
          </w:p>
        </w:tc>
        <w:tc>
          <w:tcPr>
            <w:tcW w:w="2078" w:type="dxa"/>
            <w:tcBorders>
              <w:top w:val="nil"/>
              <w:left w:val="nil"/>
              <w:bottom w:val="nil"/>
              <w:right w:val="nil"/>
            </w:tcBorders>
            <w:noWrap w:val="0"/>
            <w:tcMar>
              <w:top w:w="40" w:type="dxa"/>
              <w:left w:w="50" w:type="dxa"/>
              <w:bottom w:w="40" w:type="dxa"/>
              <w:right w:w="50" w:type="dxa"/>
            </w:tcMar>
            <w:vAlign w:val="center"/>
          </w:tcPr>
          <w:p w14:paraId="329DF10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财政风险、债务风险、隐性债务、底线管理、责任边界</w:t>
            </w:r>
          </w:p>
        </w:tc>
        <w:tc>
          <w:tcPr>
            <w:tcW w:w="1358" w:type="dxa"/>
            <w:tcBorders>
              <w:top w:val="nil"/>
              <w:left w:val="nil"/>
              <w:bottom w:val="nil"/>
              <w:right w:val="nil"/>
            </w:tcBorders>
            <w:noWrap w:val="0"/>
            <w:tcMar>
              <w:top w:w="40" w:type="dxa"/>
              <w:left w:w="50" w:type="dxa"/>
              <w:bottom w:w="40" w:type="dxa"/>
              <w:right w:w="50" w:type="dxa"/>
            </w:tcMar>
            <w:vAlign w:val="center"/>
          </w:tcPr>
          <w:p w14:paraId="778DAA5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D1_idx / D_idx</w:t>
            </w:r>
          </w:p>
        </w:tc>
      </w:tr>
      <w:tr w14:paraId="2215F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1AD889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w14:paraId="24FF165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w:t>
            </w:r>
          </w:p>
        </w:tc>
        <w:tc>
          <w:tcPr>
            <w:tcW w:w="0" w:type="auto"/>
            <w:tcBorders>
              <w:top w:val="nil"/>
              <w:left w:val="nil"/>
              <w:bottom w:val="nil"/>
              <w:right w:val="nil"/>
            </w:tcBorders>
            <w:noWrap w:val="0"/>
            <w:tcMar>
              <w:top w:w="40" w:type="dxa"/>
              <w:left w:w="50" w:type="dxa"/>
              <w:bottom w:w="40" w:type="dxa"/>
              <w:right w:w="50" w:type="dxa"/>
            </w:tcMar>
            <w:vAlign w:val="center"/>
          </w:tcPr>
          <w:p w14:paraId="5640E6B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违约失灵、终止补偿与退出机制</w:t>
            </w:r>
          </w:p>
        </w:tc>
        <w:tc>
          <w:tcPr>
            <w:tcW w:w="1956" w:type="dxa"/>
            <w:tcBorders>
              <w:top w:val="nil"/>
              <w:left w:val="nil"/>
              <w:bottom w:val="nil"/>
              <w:right w:val="nil"/>
            </w:tcBorders>
            <w:noWrap w:val="0"/>
            <w:tcMar>
              <w:top w:w="40" w:type="dxa"/>
              <w:left w:w="50" w:type="dxa"/>
              <w:bottom w:w="40" w:type="dxa"/>
              <w:right w:w="50" w:type="dxa"/>
            </w:tcMar>
            <w:vAlign w:val="center"/>
          </w:tcPr>
          <w:p w14:paraId="6EA3C54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违约、提前终止、补偿、退出、重组与失败项目处置</w:t>
            </w:r>
          </w:p>
        </w:tc>
        <w:tc>
          <w:tcPr>
            <w:tcW w:w="2078" w:type="dxa"/>
            <w:tcBorders>
              <w:top w:val="nil"/>
              <w:left w:val="nil"/>
              <w:bottom w:val="nil"/>
              <w:right w:val="nil"/>
            </w:tcBorders>
            <w:noWrap w:val="0"/>
            <w:tcMar>
              <w:top w:w="40" w:type="dxa"/>
              <w:left w:w="50" w:type="dxa"/>
              <w:bottom w:w="40" w:type="dxa"/>
              <w:right w:w="50" w:type="dxa"/>
            </w:tcMar>
            <w:vAlign w:val="center"/>
          </w:tcPr>
          <w:p w14:paraId="1C81854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违约、终止、补偿、退出、解约、清算、风险处置</w:t>
            </w:r>
          </w:p>
        </w:tc>
        <w:tc>
          <w:tcPr>
            <w:tcW w:w="1358" w:type="dxa"/>
            <w:tcBorders>
              <w:top w:val="nil"/>
              <w:left w:val="nil"/>
              <w:bottom w:val="nil"/>
              <w:right w:val="nil"/>
            </w:tcBorders>
            <w:noWrap w:val="0"/>
            <w:tcMar>
              <w:top w:w="40" w:type="dxa"/>
              <w:left w:w="50" w:type="dxa"/>
              <w:bottom w:w="40" w:type="dxa"/>
              <w:right w:w="50" w:type="dxa"/>
            </w:tcMar>
            <w:vAlign w:val="center"/>
          </w:tcPr>
          <w:p w14:paraId="44376EC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D2_idx / D_idx</w:t>
            </w:r>
          </w:p>
        </w:tc>
      </w:tr>
      <w:tr w14:paraId="1075E2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single" w:color="auto" w:sz="12" w:space="0"/>
              <w:right w:val="nil"/>
            </w:tcBorders>
            <w:noWrap w:val="0"/>
            <w:tcMar>
              <w:top w:w="40" w:type="dxa"/>
              <w:left w:w="50" w:type="dxa"/>
              <w:bottom w:w="40" w:type="dxa"/>
              <w:right w:w="50" w:type="dxa"/>
            </w:tcMar>
            <w:vAlign w:val="center"/>
          </w:tcPr>
          <w:p w14:paraId="206E10D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single" w:color="auto" w:sz="12" w:space="0"/>
              <w:right w:val="nil"/>
            </w:tcBorders>
            <w:noWrap w:val="0"/>
            <w:tcMar>
              <w:top w:w="40" w:type="dxa"/>
              <w:left w:w="50" w:type="dxa"/>
              <w:bottom w:w="40" w:type="dxa"/>
              <w:right w:w="50" w:type="dxa"/>
            </w:tcMar>
            <w:vAlign w:val="center"/>
          </w:tcPr>
          <w:p w14:paraId="0D1E66D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w:t>
            </w:r>
          </w:p>
        </w:tc>
        <w:tc>
          <w:tcPr>
            <w:tcW w:w="1462" w:type="dxa"/>
            <w:tcBorders>
              <w:top w:val="nil"/>
              <w:left w:val="nil"/>
              <w:bottom w:val="single" w:color="auto" w:sz="12" w:space="0"/>
              <w:right w:val="nil"/>
            </w:tcBorders>
            <w:noWrap w:val="0"/>
            <w:tcMar>
              <w:top w:w="40" w:type="dxa"/>
              <w:left w:w="50" w:type="dxa"/>
              <w:bottom w:w="40" w:type="dxa"/>
              <w:right w:w="50" w:type="dxa"/>
            </w:tcMar>
            <w:vAlign w:val="center"/>
          </w:tcPr>
          <w:p w14:paraId="4155960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监督检查、整改清退与问责纠偏</w:t>
            </w:r>
          </w:p>
        </w:tc>
        <w:tc>
          <w:tcPr>
            <w:tcW w:w="1956" w:type="dxa"/>
            <w:tcBorders>
              <w:top w:val="nil"/>
              <w:left w:val="nil"/>
              <w:bottom w:val="single" w:color="auto" w:sz="12" w:space="0"/>
              <w:right w:val="nil"/>
            </w:tcBorders>
            <w:noWrap w:val="0"/>
            <w:tcMar>
              <w:top w:w="40" w:type="dxa"/>
              <w:left w:w="50" w:type="dxa"/>
              <w:bottom w:w="40" w:type="dxa"/>
              <w:right w:w="50" w:type="dxa"/>
            </w:tcMar>
            <w:vAlign w:val="center"/>
          </w:tcPr>
          <w:p w14:paraId="37C05E9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监管、审计、整改、清退、责任追究与纠偏</w:t>
            </w:r>
          </w:p>
        </w:tc>
        <w:tc>
          <w:tcPr>
            <w:tcW w:w="2078" w:type="dxa"/>
            <w:tcBorders>
              <w:top w:val="nil"/>
              <w:left w:val="nil"/>
              <w:bottom w:val="single" w:color="auto" w:sz="12" w:space="0"/>
              <w:right w:val="nil"/>
            </w:tcBorders>
            <w:noWrap w:val="0"/>
            <w:tcMar>
              <w:top w:w="40" w:type="dxa"/>
              <w:left w:w="50" w:type="dxa"/>
              <w:bottom w:w="40" w:type="dxa"/>
              <w:right w:w="50" w:type="dxa"/>
            </w:tcMar>
            <w:vAlign w:val="center"/>
          </w:tcPr>
          <w:p w14:paraId="62378D3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监管、审计、督查、整改、清退、问责、黑名单</w:t>
            </w:r>
          </w:p>
        </w:tc>
        <w:tc>
          <w:tcPr>
            <w:tcW w:w="1358" w:type="dxa"/>
            <w:tcBorders>
              <w:top w:val="nil"/>
              <w:left w:val="nil"/>
              <w:bottom w:val="single" w:color="auto" w:sz="12" w:space="0"/>
              <w:right w:val="nil"/>
            </w:tcBorders>
            <w:noWrap w:val="0"/>
            <w:tcMar>
              <w:top w:w="40" w:type="dxa"/>
              <w:left w:w="50" w:type="dxa"/>
              <w:bottom w:w="40" w:type="dxa"/>
              <w:right w:w="50" w:type="dxa"/>
            </w:tcMar>
            <w:vAlign w:val="center"/>
          </w:tcPr>
          <w:p w14:paraId="34B5AA3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D3_idx / D_idx</w:t>
            </w:r>
          </w:p>
        </w:tc>
      </w:tr>
    </w:tbl>
    <w:p w14:paraId="76019701">
      <w:pPr>
        <w:spacing w:before="0" w:after="0" w:line="420" w:lineRule="auto"/>
        <w:ind w:firstLine="420"/>
        <w:jc w:val="both"/>
      </w:pPr>
      <w:r>
        <w:rPr>
          <w:rFonts w:ascii="Times New Roman" w:hAnsi="Times New Roman" w:eastAsia="宋体"/>
          <w:sz w:val="24"/>
          <w:szCs w:val="24"/>
        </w:rPr>
        <w:t>在表2基础上，图1进一步压缩展示了“语料规模—治理维度—变量工程”的整体结构。图中同时呈现语料数量、文本覆盖、A/B/C/D维度路径和主题热度分布，其功能是把文本工程如何进入治理能力测度用一张图收束起来。换言之，图1服务于变量工程和治理测度，而不是承担因果识别本身。</w:t>
      </w:r>
    </w:p>
    <w:p w14:paraId="61F15984">
      <w:pPr>
        <w:spacing w:before="60" w:after="60" w:line="360" w:lineRule="auto"/>
        <w:jc w:val="center"/>
      </w:pPr>
      <w:r>
        <w:drawing>
          <wp:inline distT="0" distB="0" distL="0" distR="0">
            <wp:extent cx="5577840" cy="38188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a:stretch>
                      <a:fillRect/>
                    </a:stretch>
                  </pic:blipFill>
                  <pic:spPr>
                    <a:xfrm>
                      <a:off x="0" y="0"/>
                      <a:ext cx="5577840" cy="3819357"/>
                    </a:xfrm>
                    <a:prstGeom prst="rect">
                      <a:avLst/>
                    </a:prstGeom>
                  </pic:spPr>
                </pic:pic>
              </a:graphicData>
            </a:graphic>
          </wp:inline>
        </w:drawing>
      </w:r>
    </w:p>
    <w:p w14:paraId="408A08DA">
      <w:pPr>
        <w:spacing w:before="0" w:after="60" w:line="420" w:lineRule="auto"/>
        <w:jc w:val="center"/>
      </w:pPr>
      <w:r>
        <w:rPr>
          <w:rFonts w:ascii="Times New Roman" w:hAnsi="Times New Roman" w:eastAsia="宋体"/>
          <w:sz w:val="21"/>
          <w:szCs w:val="21"/>
        </w:rPr>
        <w:t>图1 政策文本构造与治理能力测度总览</w:t>
      </w:r>
    </w:p>
    <w:p w14:paraId="65BB8C49">
      <w:pPr>
        <w:spacing w:before="0" w:after="0" w:line="420" w:lineRule="auto"/>
        <w:ind w:firstLine="420"/>
        <w:jc w:val="both"/>
      </w:pPr>
      <w:r>
        <w:rPr>
          <w:rFonts w:ascii="Times New Roman" w:hAnsi="Times New Roman" w:eastAsia="宋体"/>
          <w:sz w:val="24"/>
          <w:szCs w:val="24"/>
        </w:rPr>
        <w:t>为了进一步展示文档级文本观测与省—年聚合后的治理测度之间并非机械拼接，而具有可解释的语义结构对应关系，图2给出了双层主题嵌入结构。相较于图1的总览功能，图2更直接说明文本聚合之后形成的治理测度在语义空间中仍保留了可解释的层级结构，因此可以为省—年变量构造提供额外的合理性支撑。需要强调的是，图2的作用仍然是变量工程与文本聚合的结构验证，不承担主识别证据功能。</w:t>
      </w:r>
    </w:p>
    <w:p w14:paraId="472CB685">
      <w:pPr>
        <w:spacing w:before="60" w:after="60" w:line="360" w:lineRule="auto"/>
        <w:jc w:val="center"/>
      </w:pPr>
      <w:r>
        <w:drawing>
          <wp:inline distT="0" distB="0" distL="0" distR="0">
            <wp:extent cx="5577840" cy="468439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a:blip r:embed="rId5"/>
                    <a:stretch>
                      <a:fillRect/>
                    </a:stretch>
                  </pic:blipFill>
                  <pic:spPr>
                    <a:xfrm>
                      <a:off x="0" y="0"/>
                      <a:ext cx="5577840" cy="4684836"/>
                    </a:xfrm>
                    <a:prstGeom prst="rect">
                      <a:avLst/>
                    </a:prstGeom>
                  </pic:spPr>
                </pic:pic>
              </a:graphicData>
            </a:graphic>
          </wp:inline>
        </w:drawing>
      </w:r>
    </w:p>
    <w:p w14:paraId="46C63AD8">
      <w:pPr>
        <w:spacing w:before="0" w:after="60" w:line="420" w:lineRule="auto"/>
        <w:jc w:val="center"/>
      </w:pPr>
      <w:r>
        <w:rPr>
          <w:rFonts w:ascii="Times New Roman" w:hAnsi="Times New Roman" w:eastAsia="宋体"/>
          <w:sz w:val="21"/>
          <w:szCs w:val="21"/>
        </w:rPr>
        <w:t>图2 文档级文本与省—年治理测度的双层主题嵌入结构</w:t>
      </w:r>
    </w:p>
    <w:p w14:paraId="00060D10">
      <w:pPr>
        <w:spacing w:before="0" w:after="0" w:line="420" w:lineRule="auto"/>
        <w:ind w:firstLine="420"/>
        <w:jc w:val="both"/>
      </w:pPr>
      <w:r>
        <w:t>为进一步避免方法诊断图与正文主识别之间的关系被理解为彼此割裂，本文将BERTopic主题相似性矩阵前移至正文图5，用于直接展示机器主题之间的相似结构和主题簇的邻接关系。附录A1不再重复插入同一图像，仅保留其在主题诊断中的用途说明。</w:t>
      </w:r>
    </w:p>
    <w:p w14:paraId="6620257A">
      <w:pPr>
        <w:spacing w:before="100" w:after="40" w:line="420" w:lineRule="auto"/>
        <w:jc w:val="left"/>
      </w:pPr>
      <w:r>
        <w:rPr>
          <w:rFonts w:ascii="Times New Roman" w:hAnsi="Times New Roman" w:eastAsia="宋体"/>
          <w:b/>
          <w:sz w:val="25"/>
          <w:szCs w:val="25"/>
        </w:rPr>
        <w:t>4.3 处理变量、结果变量与控制变量</w:t>
      </w:r>
    </w:p>
    <w:p w14:paraId="77BE2D78">
      <w:pPr>
        <w:spacing w:before="0" w:after="0" w:line="420" w:lineRule="auto"/>
        <w:ind w:firstLine="420"/>
        <w:jc w:val="both"/>
      </w:pPr>
      <w:r>
        <w:rPr>
          <w:rFonts w:ascii="Times New Roman" w:hAnsi="Times New Roman" w:eastAsia="宋体"/>
          <w:sz w:val="24"/>
          <w:szCs w:val="24"/>
        </w:rPr>
        <w: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w:t>
      </w:r>
    </w:p>
    <w:p w14:paraId="450D60BB">
      <w:pPr>
        <w:spacing w:before="0" w:after="0" w:line="420" w:lineRule="auto"/>
        <w:ind w:firstLine="420"/>
        <w:jc w:val="both"/>
      </w:pPr>
      <w:r>
        <w:rPr>
          <w:rFonts w:ascii="Times New Roman" w:hAnsi="Times New Roman" w:eastAsia="宋体"/>
          <w:sz w:val="24"/>
          <w:szCs w:val="24"/>
        </w:rPr>
        <w: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明确将其降格处理，不把它写成全文中心结论。</w:t>
      </w:r>
    </w:p>
    <w:p w14:paraId="15049706">
      <w:pPr>
        <w:spacing w:before="0" w:after="0" w:line="420" w:lineRule="auto"/>
        <w:ind w:firstLine="420"/>
        <w:jc w:val="both"/>
      </w:pPr>
      <w:r>
        <w:rPr>
          <w:rFonts w:ascii="Times New Roman" w:hAnsi="Times New Roman" w:eastAsia="宋体"/>
          <w:sz w:val="24"/>
          <w:szCs w:val="24"/>
        </w:rPr>
        <w:t>控制变量方面，本文使用正式主面板中已经统一口径整理的省级经济社会特征变量，并结合文本覆盖相关控制量进行估计。其中，text_missing、文档数量和文本覆盖规模主要用于控制文本观测差异可能带来的测度偏误，其他省级控制变量则按正式主面板统一规格进入回归。不同层级变量的边界在本文中保持严格区分：文档级文本变量用于构造省—年治理测度，省—年变量进入主面板服务于机制解释，而项目级变量仅在第5.7节中用于辅助识别。</w:t>
      </w:r>
    </w:p>
    <w:p w14:paraId="33DB0F42">
      <w:pPr>
        <w:spacing w:before="100" w:after="40" w:line="420" w:lineRule="auto"/>
        <w:jc w:val="left"/>
      </w:pPr>
      <w:r>
        <w:rPr>
          <w:rFonts w:ascii="Times New Roman" w:hAnsi="Times New Roman" w:eastAsia="宋体"/>
          <w:b/>
          <w:sz w:val="25"/>
          <w:szCs w:val="25"/>
        </w:rPr>
        <w:t>4.4 计量模型与识别思路</w:t>
      </w:r>
    </w:p>
    <w:p w14:paraId="3B3BC3BA">
      <w:pPr>
        <w:spacing w:before="0" w:after="0" w:line="420" w:lineRule="auto"/>
        <w:ind w:firstLine="420"/>
        <w:jc w:val="both"/>
      </w:pPr>
      <w:r>
        <w:rPr>
          <w:rFonts w:ascii="Times New Roman" w:hAnsi="Times New Roman" w:eastAsia="宋体"/>
          <w:sz w:val="24"/>
          <w:szCs w:val="24"/>
        </w:rPr>
        <w:t>本文的主识别模型是以treat_share为核心处理变量的多期DID/TWFE模型。形式上，模型以省级结果变量为被解释变量，在控制地区固定效应、年份固定效应及相关控制变量后，识别政务服务数字化改革处理强度变化对PPP推进结构和治理表现的影响。之所以将其作为唯一主识别，原因有二：一是当前正式结果和总控文档都明确将treat_share多期DID/TWFE设定为全文唯一主模型；二是这一模型与本文“改革冲击—治理过程变化—推进结构调整”的问题结构最为契合。</w:t>
      </w:r>
    </w:p>
    <w:p w14:paraId="1A6E6399">
      <w:pPr>
        <w:spacing w:before="0" w:after="0" w:line="420" w:lineRule="auto"/>
        <w:ind w:firstLine="420"/>
        <w:jc w:val="both"/>
      </w:pPr>
      <w:r>
        <w:rPr>
          <w:rFonts w:ascii="Times New Roman" w:hAnsi="Times New Roman" w:eastAsia="宋体"/>
          <w:sz w:val="24"/>
          <w:szCs w:val="24"/>
        </w:rPr>
        <w:t>需要强调的是，本文对识别强度的处理是克制的。首先，事件研究部分只承担动态路径与识别边界说明，不被解释为“平行趋势成立”的强证据。其次，DML、PSM-DID和工具变量可行性筛查等方法虽在后文出现，但其角色仅限于稳健性补充、敏感性诊断或识别边界评估，而不改变主识别结构。再次，文本分析及其衍生变量在研究设计中的功能，是为治理测度和机制解释提供输入，而不是直接承担因果识别任务。</w:t>
      </w:r>
    </w:p>
    <w:p w14:paraId="41817273">
      <w:pPr>
        <w:spacing w:before="160" w:after="60" w:line="420" w:lineRule="auto"/>
        <w:jc w:val="left"/>
      </w:pPr>
      <w:r>
        <w:rPr>
          <w:rFonts w:ascii="Times New Roman" w:hAnsi="Times New Roman" w:eastAsia="宋体"/>
          <w:b/>
          <w:sz w:val="28"/>
          <w:szCs w:val="28"/>
        </w:rPr>
        <w:t>5 实证分析</w:t>
      </w:r>
    </w:p>
    <w:p w14:paraId="573CDD58">
      <w:pPr>
        <w:spacing w:before="100" w:after="40" w:line="420" w:lineRule="auto"/>
        <w:jc w:val="left"/>
      </w:pPr>
      <w:r>
        <w:rPr>
          <w:rFonts w:ascii="Times New Roman" w:hAnsi="Times New Roman" w:eastAsia="宋体"/>
          <w:b/>
          <w:sz w:val="25"/>
          <w:szCs w:val="25"/>
        </w:rPr>
        <w:t>5.1 描述性事实与治理过程背景</w:t>
      </w:r>
    </w:p>
    <w:p w14:paraId="3909E3AF">
      <w:pPr>
        <w:spacing w:before="0" w:after="0" w:line="420" w:lineRule="auto"/>
        <w:ind w:firstLine="420"/>
        <w:jc w:val="both"/>
      </w:pPr>
      <w:r>
        <w:rPr>
          <w:rFonts w:ascii="Times New Roman" w:hAnsi="Times New Roman" w:eastAsia="宋体"/>
          <w:sz w:val="24"/>
          <w:szCs w:val="24"/>
        </w:rP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w14:paraId="5F796F87">
      <w:pPr>
        <w:spacing w:before="0" w:after="0" w:line="420" w:lineRule="auto"/>
        <w:ind w:firstLine="420"/>
        <w:jc w:val="both"/>
      </w:pPr>
      <w:r>
        <w:rPr>
          <w:rFonts w:ascii="Times New Roman" w:hAnsi="Times New Roman" w:eastAsia="宋体"/>
          <w:sz w:val="24"/>
          <w:szCs w:val="24"/>
        </w:rPr>
        <w:t>图3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w:t>
      </w:r>
    </w:p>
    <w:p w14:paraId="372507D8">
      <w:pPr>
        <w:spacing w:before="60" w:after="60" w:line="360" w:lineRule="auto"/>
        <w:jc w:val="center"/>
      </w:pPr>
      <w:r>
        <w:drawing>
          <wp:inline distT="0" distB="0" distL="0" distR="0">
            <wp:extent cx="5577840" cy="469392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a:blip r:embed="rId6"/>
                    <a:stretch>
                      <a:fillRect/>
                    </a:stretch>
                  </pic:blipFill>
                  <pic:spPr>
                    <a:xfrm>
                      <a:off x="0" y="0"/>
                      <a:ext cx="5577840" cy="4694250"/>
                    </a:xfrm>
                    <a:prstGeom prst="rect">
                      <a:avLst/>
                    </a:prstGeom>
                  </pic:spPr>
                </pic:pic>
              </a:graphicData>
            </a:graphic>
          </wp:inline>
        </w:drawing>
      </w:r>
    </w:p>
    <w:p w14:paraId="0CE02DDB">
      <w:pPr>
        <w:spacing w:before="0" w:after="60" w:line="420" w:lineRule="auto"/>
        <w:jc w:val="center"/>
      </w:pPr>
      <w:r>
        <w:rPr>
          <w:rFonts w:ascii="Times New Roman" w:hAnsi="Times New Roman" w:eastAsia="宋体"/>
          <w:sz w:val="21"/>
          <w:szCs w:val="21"/>
        </w:rPr>
        <w:t>图3 PPP项目推进状态空间与结构演变</w:t>
      </w:r>
    </w:p>
    <w:p w14:paraId="4766A052">
      <w:pPr>
        <w:spacing w:before="0" w:after="0" w:line="420" w:lineRule="auto"/>
        <w:ind w:firstLine="420"/>
        <w:jc w:val="both"/>
      </w:pPr>
      <w:r>
        <w:rPr>
          <w:rFonts w:ascii="Times New Roman" w:hAnsi="Times New Roman" w:eastAsia="宋体"/>
          <w:sz w:val="24"/>
          <w:szCs w:val="24"/>
        </w:rPr>
        <w:t>作为补充，图4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4的作用因此是辅助性的，它帮助说明后文进行面板识别的必要性，同时提醒读者不要将描述性差异直接等同于制度冲击的净效应。</w:t>
      </w:r>
    </w:p>
    <w:p w14:paraId="3D8A4E4F">
      <w:pPr>
        <w:spacing w:before="60" w:after="60" w:line="360" w:lineRule="auto"/>
        <w:jc w:val="center"/>
      </w:pPr>
      <w:r>
        <w:drawing>
          <wp:inline distT="0" distB="0" distL="0" distR="0">
            <wp:extent cx="5577840" cy="354203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pic:cNvPicPr>
                  </pic:nvPicPr>
                  <pic:blipFill>
                    <a:blip r:embed="rId7"/>
                    <a:stretch>
                      <a:fillRect/>
                    </a:stretch>
                  </pic:blipFill>
                  <pic:spPr>
                    <a:xfrm>
                      <a:off x="0" y="0"/>
                      <a:ext cx="5577840" cy="3542266"/>
                    </a:xfrm>
                    <a:prstGeom prst="rect">
                      <a:avLst/>
                    </a:prstGeom>
                  </pic:spPr>
                </pic:pic>
              </a:graphicData>
            </a:graphic>
          </wp:inline>
        </w:drawing>
      </w:r>
    </w:p>
    <w:p w14:paraId="2C66BFCD">
      <w:pPr>
        <w:spacing w:before="0" w:after="60" w:line="420" w:lineRule="auto"/>
        <w:jc w:val="center"/>
      </w:pPr>
      <w:r>
        <w:rPr>
          <w:rFonts w:ascii="Times New Roman" w:hAnsi="Times New Roman" w:eastAsia="宋体"/>
          <w:sz w:val="21"/>
          <w:szCs w:val="21"/>
        </w:rPr>
        <w:t>图4 处理组与对照组核心变量分布差异</w:t>
      </w:r>
    </w:p>
    <w:p w14:paraId="691D3BBB">
      <w:pPr>
        <w:spacing w:before="0" w:after="0" w:line="420" w:lineRule="auto"/>
        <w:ind w:firstLine="420"/>
        <w:jc w:val="both"/>
      </w:pPr>
      <w:r>
        <w:t>除推进结构与分布差异之外，文本分析结果本身的结构稳定性同样构成理解后文主识别的重要背景。为避免主题映射被误解为机械拼接或任意归类，图5进一步给出BERTopic主题相似性矩阵。该图并不承担因果识别功能，而是用来展示机器主题之间的相近关系、主题簇之间的邻接结构以及若干高相似主题的聚合基础。就本文而言，这一图像证据的意义在于：A、B、C、D维度下的主题归并并非完全依赖研究者主观指定，而是在主题间语义邻近关系和结构关联基础上完成的。</w:t>
      </w:r>
    </w:p>
    <w:p w14:paraId="4C36B422">
      <w:pPr>
        <w:spacing w:before="60" w:after="60" w:line="360" w:lineRule="auto"/>
        <w:jc w:val="center"/>
        <w:rPr>
          <w:rFonts w:hint="eastAsia" w:eastAsia="宋体"/>
          <w:lang w:eastAsia="zh-CN"/>
        </w:rPr>
      </w:pPr>
      <w:r>
        <w:rPr>
          <w:rFonts w:hint="eastAsia" w:eastAsia="宋体"/>
          <w:lang w:eastAsia="zh-CN"/>
        </w:rPr>
        <w:drawing>
          <wp:inline distT="0" distB="0" distL="114300" distR="114300">
            <wp:extent cx="5266055" cy="4570095"/>
            <wp:effectExtent l="0" t="0" r="4445" b="1905"/>
            <wp:docPr id="5" name="图片 5" descr="PPP_BERTopic主题相似性矩阵_官方GnBu冰蓝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PP_BERTopic主题相似性矩阵_官方GnBu冰蓝版"/>
                    <pic:cNvPicPr>
                      <a:picLocks noChangeAspect="1"/>
                    </pic:cNvPicPr>
                  </pic:nvPicPr>
                  <pic:blipFill>
                    <a:blip r:embed="rId8"/>
                    <a:stretch>
                      <a:fillRect/>
                    </a:stretch>
                  </pic:blipFill>
                  <pic:spPr>
                    <a:xfrm>
                      <a:off x="0" y="0"/>
                      <a:ext cx="5266055" cy="4570095"/>
                    </a:xfrm>
                    <a:prstGeom prst="rect">
                      <a:avLst/>
                    </a:prstGeom>
                  </pic:spPr>
                </pic:pic>
              </a:graphicData>
            </a:graphic>
          </wp:inline>
        </w:drawing>
      </w:r>
    </w:p>
    <w:p w14:paraId="69A325B3">
      <w:pPr>
        <w:spacing w:before="0" w:after="60" w:line="420" w:lineRule="auto"/>
        <w:jc w:val="center"/>
      </w:pPr>
      <w:r>
        <w:t>图5 BERTopic主题相似性矩阵</w:t>
      </w:r>
    </w:p>
    <w:p w14:paraId="65A281A8">
      <w:pPr>
        <w:spacing w:before="0" w:after="0" w:line="420" w:lineRule="auto"/>
        <w:ind w:firstLine="420"/>
        <w:jc w:val="both"/>
      </w:pPr>
      <w:r>
        <w:t>由此可见，进入正式识别之前，正文已经呈现出三个需要同时把握的背景线索：一是PPP项目推进结构本身存在明显的阶段性变化；二是处理组与对照组在核心变量分布上并不完全相同；三是主题相似性矩阵显示前端文本工程具有较稳定的内部结构，这为后续把主题映射结果纳入变量工程提供了方法层支撑。对公共管理研究而言，这些内容共同构成治理背景与方法背景，但都不直接承担因果证明功能。</w:t>
      </w:r>
    </w:p>
    <w:p w14:paraId="137712D3">
      <w:pPr>
        <w:spacing w:before="100" w:after="40" w:line="420" w:lineRule="auto"/>
        <w:jc w:val="left"/>
      </w:pPr>
      <w:r>
        <w:rPr>
          <w:rFonts w:ascii="Times New Roman" w:hAnsi="Times New Roman" w:eastAsia="宋体"/>
          <w:b/>
          <w:sz w:val="25"/>
          <w:szCs w:val="25"/>
        </w:rPr>
        <w:t>5.2 基准结果</w:t>
      </w:r>
    </w:p>
    <w:p w14:paraId="480BBAA2">
      <w:pPr>
        <w:spacing w:before="0" w:after="0" w:line="420" w:lineRule="auto"/>
        <w:ind w:firstLine="420"/>
        <w:jc w:val="both"/>
      </w:pPr>
      <w:r>
        <w:rPr>
          <w:rFonts w:ascii="Times New Roman" w:hAnsi="Times New Roman" w:eastAsia="宋体"/>
          <w:sz w:val="24"/>
          <w:szCs w:val="24"/>
        </w:rP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w14:paraId="64C18C6B">
      <w:pPr>
        <w:spacing w:before="0" w:after="0" w:line="420" w:lineRule="auto"/>
        <w:ind w:firstLine="420"/>
        <w:jc w:val="both"/>
      </w:pPr>
      <w:r>
        <w:rPr>
          <w:rFonts w:ascii="Times New Roman" w:hAnsi="Times New Roman" w:eastAsia="宋体"/>
          <w:sz w:val="24"/>
          <w:szCs w:val="24"/>
        </w:rPr>
        <w: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w:t>
      </w:r>
    </w:p>
    <w:p w14:paraId="5714222D">
      <w:pPr>
        <w:spacing w:before="0" w:after="40" w:line="420" w:lineRule="auto"/>
        <w:jc w:val="center"/>
      </w:pPr>
      <w:r>
        <w:rPr>
          <w:rFonts w:ascii="Times New Roman" w:hAnsi="Times New Roman" w:eastAsia="宋体"/>
          <w:sz w:val="21"/>
          <w:szCs w:val="21"/>
        </w:rPr>
        <w:t>表4 基准多期DID_TWFE结果</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932"/>
        <w:gridCol w:w="1878"/>
        <w:gridCol w:w="1369"/>
        <w:gridCol w:w="840"/>
        <w:gridCol w:w="525"/>
        <w:gridCol w:w="705"/>
        <w:gridCol w:w="1273"/>
      </w:tblGrid>
      <w:tr w14:paraId="1D03221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2A7941D">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187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AB9DB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treat_share系数</w:t>
            </w:r>
          </w:p>
        </w:tc>
        <w:tc>
          <w:tcPr>
            <w:tcW w:w="13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93CCC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聚类标准误</w:t>
            </w:r>
          </w:p>
        </w:tc>
        <w:tc>
          <w:tcPr>
            <w:tcW w:w="84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2C24874">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p值</w:t>
            </w:r>
          </w:p>
        </w:tc>
        <w:tc>
          <w:tcPr>
            <w:tcW w:w="5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048F28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70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E460DC9">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R²</w:t>
            </w:r>
          </w:p>
        </w:tc>
        <w:tc>
          <w:tcPr>
            <w:tcW w:w="127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4BB53A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写作口径</w:t>
            </w:r>
          </w:p>
        </w:tc>
      </w:tr>
      <w:tr w14:paraId="709B1AE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F39A876">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187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AD83FCE">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0.3556***</w:t>
            </w:r>
          </w:p>
        </w:tc>
        <w:tc>
          <w:tcPr>
            <w:tcW w:w="13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FC2CA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(0.1002)</w:t>
            </w:r>
          </w:p>
        </w:tc>
        <w:tc>
          <w:tcPr>
            <w:tcW w:w="84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01A549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4E1886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7E9CA3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0.839</w:t>
            </w:r>
          </w:p>
        </w:tc>
        <w:tc>
          <w:tcPr>
            <w:tcW w:w="127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54C62A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w14:paraId="601857D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A9744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1879" w:type="dxa"/>
            <w:tcBorders>
              <w:top w:val="nil"/>
              <w:left w:val="nil"/>
              <w:bottom w:val="nil"/>
              <w:right w:val="nil"/>
            </w:tcBorders>
            <w:shd w:val="clear" w:color="auto" w:fill="FFFFFF"/>
            <w:noWrap w:val="0"/>
            <w:tcMar>
              <w:top w:w="-1" w:type="dxa"/>
              <w:left w:w="-1" w:type="dxa"/>
              <w:bottom w:w="-1" w:type="dxa"/>
              <w:right w:w="-1" w:type="dxa"/>
            </w:tcMar>
            <w:vAlign w:val="center"/>
          </w:tcPr>
          <w:p w14:paraId="6F96B65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-0.4023***</w:t>
            </w:r>
          </w:p>
        </w:tc>
        <w:tc>
          <w:tcPr>
            <w:tcW w:w="1369" w:type="dxa"/>
            <w:tcBorders>
              <w:top w:val="nil"/>
              <w:left w:val="nil"/>
              <w:bottom w:val="nil"/>
              <w:right w:val="nil"/>
            </w:tcBorders>
            <w:shd w:val="clear" w:color="auto" w:fill="FFFFFF"/>
            <w:noWrap w:val="0"/>
            <w:tcMar>
              <w:top w:w="-1" w:type="dxa"/>
              <w:left w:w="-1" w:type="dxa"/>
              <w:bottom w:w="-1" w:type="dxa"/>
              <w:right w:w="-1" w:type="dxa"/>
            </w:tcMar>
            <w:vAlign w:val="center"/>
          </w:tcPr>
          <w:p w14:paraId="21FC6B6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(0.1019)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center"/>
          </w:tcPr>
          <w:p w14:paraId="52B8E94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nil"/>
              <w:left w:val="nil"/>
              <w:bottom w:val="nil"/>
              <w:right w:val="nil"/>
            </w:tcBorders>
            <w:shd w:val="clear" w:color="auto" w:fill="FFFFFF"/>
            <w:noWrap w:val="0"/>
            <w:tcMar>
              <w:top w:w="-1" w:type="dxa"/>
              <w:left w:w="-1" w:type="dxa"/>
              <w:bottom w:w="-1" w:type="dxa"/>
              <w:right w:w="-1" w:type="dxa"/>
            </w:tcMar>
            <w:vAlign w:val="center"/>
          </w:tcPr>
          <w:p w14:paraId="2C9AA6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nil"/>
              <w:right w:val="nil"/>
            </w:tcBorders>
            <w:shd w:val="clear" w:color="auto" w:fill="FFFFFF"/>
            <w:noWrap w:val="0"/>
            <w:tcMar>
              <w:top w:w="-1" w:type="dxa"/>
              <w:left w:w="-1" w:type="dxa"/>
              <w:bottom w:w="-1" w:type="dxa"/>
              <w:right w:w="-1" w:type="dxa"/>
            </w:tcMar>
            <w:vAlign w:val="center"/>
          </w:tcPr>
          <w:p w14:paraId="487756C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0.844</w:t>
            </w:r>
          </w:p>
        </w:tc>
        <w:tc>
          <w:tcPr>
            <w:tcW w:w="1274" w:type="dxa"/>
            <w:tcBorders>
              <w:top w:val="nil"/>
              <w:left w:val="nil"/>
              <w:bottom w:val="nil"/>
              <w:right w:val="nil"/>
            </w:tcBorders>
            <w:shd w:val="clear" w:color="auto" w:fill="FFFFFF"/>
            <w:noWrap w:val="0"/>
            <w:tcMar>
              <w:top w:w="-1" w:type="dxa"/>
              <w:left w:w="-1" w:type="dxa"/>
              <w:bottom w:w="-1" w:type="dxa"/>
              <w:right w:w="-1" w:type="dxa"/>
            </w:tcMar>
            <w:vAlign w:val="center"/>
          </w:tcPr>
          <w:p w14:paraId="7866423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w14:paraId="1998A8F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2C5078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87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75CF37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0.5253</w:t>
            </w:r>
          </w:p>
        </w:tc>
        <w:tc>
          <w:tcPr>
            <w:tcW w:w="13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238AE2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(0.4214)</w:t>
            </w:r>
          </w:p>
        </w:tc>
        <w:tc>
          <w:tcPr>
            <w:tcW w:w="8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C623C6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0.213</w:t>
            </w:r>
          </w:p>
        </w:tc>
        <w:tc>
          <w:tcPr>
            <w:tcW w:w="5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86D033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9093F8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0.613</w:t>
            </w:r>
          </w:p>
        </w:tc>
        <w:tc>
          <w:tcPr>
            <w:tcW w:w="127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D049FE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方向为正但统计不稳</w:t>
            </w:r>
          </w:p>
        </w:tc>
      </w:tr>
    </w:tbl>
    <w:p w14:paraId="362FEDA8">
      <w:pPr>
        <w:spacing w:before="0" w:after="0" w:line="420" w:lineRule="auto"/>
        <w:ind w:firstLine="420"/>
        <w:jc w:val="both"/>
      </w:pPr>
      <w:r>
        <w:rPr>
          <w:rFonts w:ascii="Times New Roman" w:hAnsi="Times New Roman" w:eastAsia="宋体"/>
          <w:sz w:val="24"/>
          <w:szCs w:val="24"/>
        </w:rPr>
        <w:t>为了更紧凑地展示核心结果变量的估计方向与置信区间，图6给出了主结果可视化。图中可以清楚看到，exec_share对应的估计系数位于零轴右侧且置信区间不跨零，proc_share位于零轴左侧且置信区间不跨零，这构成本文最稳固的主结果。图中若出现prep_share或其他辅助口径，其作用仅限于补充展示，不进入正文主结论。对于ppp_quality_zindex而言，若其置信区间跨零，则只能被解释为方向性信号，而不能写成显著主结果。</w:t>
      </w:r>
    </w:p>
    <w:p w14:paraId="25B069EB">
      <w:pPr>
        <w:spacing w:before="60" w:after="60" w:line="360" w:lineRule="auto"/>
        <w:jc w:val="center"/>
      </w:pPr>
      <w:r>
        <w:drawing>
          <wp:inline distT="0" distB="0" distL="0" distR="0">
            <wp:extent cx="5577840" cy="352044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a:blip r:embed="rId9"/>
                    <a:stretch>
                      <a:fillRect/>
                    </a:stretch>
                  </pic:blipFill>
                  <pic:spPr>
                    <a:xfrm>
                      <a:off x="0" y="0"/>
                      <a:ext cx="5577840" cy="3520734"/>
                    </a:xfrm>
                    <a:prstGeom prst="rect">
                      <a:avLst/>
                    </a:prstGeom>
                  </pic:spPr>
                </pic:pic>
              </a:graphicData>
            </a:graphic>
          </wp:inline>
        </w:drawing>
      </w:r>
    </w:p>
    <w:p w14:paraId="1A35DB71">
      <w:pPr>
        <w:spacing w:before="0" w:after="60" w:line="420" w:lineRule="auto"/>
        <w:jc w:val="center"/>
      </w:pPr>
      <w:r>
        <w:rPr>
          <w:rFonts w:ascii="Times New Roman" w:hAnsi="Times New Roman" w:eastAsia="宋体"/>
          <w:sz w:val="21"/>
          <w:szCs w:val="21"/>
        </w:rPr>
        <w:t>图6 基准DID主结果的系数与置信区间</w:t>
      </w:r>
    </w:p>
    <w:p w14:paraId="4DD6ECA2">
      <w:pPr>
        <w:spacing w:before="0" w:after="0" w:line="420" w:lineRule="auto"/>
        <w:ind w:firstLine="420"/>
        <w:jc w:val="both"/>
      </w:pPr>
      <w:r>
        <w:rPr>
          <w:rFonts w:ascii="Times New Roman" w:hAnsi="Times New Roman" w:eastAsia="宋体"/>
          <w:sz w:val="24"/>
          <w:szCs w:val="24"/>
        </w:rPr>
        <w:t>相较之下，ppp_quality_zindex的估计系数虽为正，但在统计上并不显著。这个结果具有明确的写作含义。它说明数字化改革并非完全没有改善综合治理质量的方向性信号，但这一信号不足以承担全文主结论。因此，本文仅将其解释为边际改善信号，而不把它提升到与推进结构结果并列的地位。</w:t>
      </w:r>
    </w:p>
    <w:p w14:paraId="3B944167">
      <w:pPr>
        <w:spacing w:before="0" w:after="0" w:line="420" w:lineRule="auto"/>
        <w:ind w:firstLine="420"/>
        <w:jc w:val="both"/>
      </w:pPr>
      <w:r>
        <w:rPr>
          <w:rFonts w:ascii="Times New Roman" w:hAnsi="Times New Roman" w:eastAsia="宋体"/>
          <w:sz w:val="24"/>
          <w:szCs w:val="24"/>
        </w:rPr>
        <w:t>基准结果对公共管理研究的含义在于，数字化改革的现实作用更接近于优化政府内部流程衔接和项目推进程序，而非立即改变所有治理结果。与此同时，也必须保持边界控制：表4与图6所识别的是推进结构和治理过程的净效应，不支持将改革表述为“全面改善PPP治理质量”的强断言。</w:t>
      </w:r>
    </w:p>
    <w:p w14:paraId="515580B5">
      <w:pPr>
        <w:spacing w:before="100" w:after="40" w:line="420" w:lineRule="auto"/>
        <w:jc w:val="left"/>
      </w:pPr>
      <w:r>
        <w:rPr>
          <w:rFonts w:ascii="Times New Roman" w:hAnsi="Times New Roman" w:eastAsia="宋体"/>
          <w:b/>
          <w:sz w:val="25"/>
          <w:szCs w:val="25"/>
        </w:rPr>
        <w:t>5.3 动态路径与识别边界</w:t>
      </w:r>
    </w:p>
    <w:p w14:paraId="7EF0702B">
      <w:pPr>
        <w:spacing w:before="0" w:after="0" w:line="420" w:lineRule="auto"/>
        <w:ind w:firstLine="420"/>
        <w:jc w:val="both"/>
      </w:pPr>
      <w:r>
        <w:rPr>
          <w:rFonts w:ascii="Times New Roman" w:hAnsi="Times New Roman" w:eastAsia="宋体"/>
          <w:sz w:val="24"/>
          <w:szCs w:val="24"/>
        </w:rP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w14:paraId="2E4A3FBC">
      <w:pPr>
        <w:spacing w:before="0" w:after="0" w:line="420" w:lineRule="auto"/>
        <w:ind w:firstLine="420"/>
        <w:jc w:val="both"/>
      </w:pPr>
      <w:r>
        <w:rPr>
          <w:rFonts w:ascii="Times New Roman" w:hAnsi="Times New Roman" w:eastAsia="宋体"/>
          <w:sz w:val="24"/>
          <w:szCs w:val="24"/>
        </w:rPr>
        <w:t>表5对事件研究的关键时期系数进行了压缩汇总，重点保留处理前窗口、处理当期、后续时期和长期区间的估计方向及其识别含义。配合表5，图7给出了三项核心结果变量的动态路径图。图形结果显示，exec_share与proc_share在处理后呈现出与基准结果一致的方向，说明改革效应更接近于一类随时间推进而逐步展开的治理过程重组；但与此同时，处理前窗口上的领先项并非完全平稳，这意味着当前事件研究结果不能被解释为“平行趋势成立”的强证据。</w:t>
      </w:r>
    </w:p>
    <w:p w14:paraId="46BD8458">
      <w:pPr>
        <w:spacing w:before="0" w:after="40" w:line="420" w:lineRule="auto"/>
        <w:jc w:val="center"/>
      </w:pPr>
      <w:r>
        <w:rPr>
          <w:rFonts w:ascii="Times New Roman" w:hAnsi="Times New Roman" w:eastAsia="宋体"/>
          <w:sz w:val="21"/>
          <w:szCs w:val="21"/>
        </w:rPr>
        <w:t>表5 动态路径与事件研究摘要表</w:t>
      </w:r>
    </w:p>
    <w:tbl>
      <w:tblPr>
        <w:tblStyle w:val="2"/>
        <w:tblW w:w="9919"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768"/>
        <w:gridCol w:w="1369"/>
        <w:gridCol w:w="1369"/>
        <w:gridCol w:w="1370"/>
        <w:gridCol w:w="1370"/>
        <w:gridCol w:w="1370"/>
        <w:gridCol w:w="1303"/>
      </w:tblGrid>
      <w:tr w14:paraId="6F918967">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417"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16FF00">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结果变量</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C566F41">
            <w:pPr>
              <w:snapToGrid w:val="0"/>
              <w:spacing w:before="0" w:after="0" w:line="240" w:lineRule="auto"/>
              <w:ind w:left="0" w:leftChars="0" w:right="0" w:rightChars="0" w:firstLine="0" w:firstLineChars="0"/>
              <w:jc w:val="center"/>
              <w:rPr>
                <w:rFonts w:ascii="Times New Roman" w:hAnsi="Times New Roman" w:eastAsia="宋体"/>
                <w:b/>
                <w:color w:val="000000"/>
                <w:sz w:val="22"/>
                <w:szCs w:val="22"/>
              </w:rPr>
            </w:pPr>
            <w:r>
              <w:rPr>
                <w:rFonts w:ascii="Times New Roman" w:hAnsi="Times New Roman" w:eastAsia="宋体"/>
                <w:b/>
                <w:color w:val="000000"/>
                <w:sz w:val="22"/>
                <w:szCs w:val="22"/>
              </w:rPr>
              <w:t>处理前</w:t>
            </w:r>
          </w:p>
          <w:p w14:paraId="799CBD7B">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(&lt;=-2)</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F8A62B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当期(0)</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AD48DF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后1期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8BB3A13">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后2期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510F93A">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后3期及以上</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D251CD9">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识别边界说明</w:t>
            </w:r>
          </w:p>
        </w:tc>
      </w:tr>
      <w:tr w14:paraId="47E12AD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DFFE6B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exec_share</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A7FAD7E">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-0.1469** [p=0.013]</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E8C84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0.4751***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47A4DF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-0.4382***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281B88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-0.4357***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8E385F5">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-0.6041***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C2B9141">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w14:paraId="7A75003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4426FD2">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proc_share</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56F97625">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0.2438***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A72C744">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-0.3350*** [p=0.010]</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3C02066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0.4835***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2A973086">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0.3831***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026E4C1A">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0.6803***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3731C7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w14:paraId="766ED1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BAD4C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ppp_quality_zindex</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3289E53">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-0.1877* [p=0.051]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40C6B3D">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0.7400** [p=0.013]</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B68013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-0.4226*** [p=0.002]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D50944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-0.6742*** [p=&lt;0.001]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FDFF16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-0.4672* [p=0.072]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356E9A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bl>
    <w:p w14:paraId="45D469A8">
      <w:pPr>
        <w:spacing w:before="60" w:after="60" w:line="360" w:lineRule="auto"/>
        <w:jc w:val="center"/>
      </w:pPr>
      <w:r>
        <w:drawing>
          <wp:inline distT="0" distB="0" distL="0" distR="0">
            <wp:extent cx="5577840" cy="570992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a:blip r:embed="rId10"/>
                    <a:stretch>
                      <a:fillRect/>
                    </a:stretch>
                  </pic:blipFill>
                  <pic:spPr>
                    <a:xfrm>
                      <a:off x="0" y="0"/>
                      <a:ext cx="5577840" cy="5710257"/>
                    </a:xfrm>
                    <a:prstGeom prst="rect">
                      <a:avLst/>
                    </a:prstGeom>
                  </pic:spPr>
                </pic:pic>
              </a:graphicData>
            </a:graphic>
          </wp:inline>
        </w:drawing>
      </w:r>
    </w:p>
    <w:p w14:paraId="443ECE0B">
      <w:pPr>
        <w:spacing w:before="0" w:after="60" w:line="420" w:lineRule="auto"/>
        <w:jc w:val="center"/>
      </w:pPr>
      <w:r>
        <w:rPr>
          <w:rFonts w:ascii="Times New Roman" w:hAnsi="Times New Roman" w:eastAsia="宋体"/>
          <w:sz w:val="21"/>
          <w:szCs w:val="21"/>
        </w:rPr>
        <w:t>图7 事件研究动态路径图</w:t>
      </w:r>
    </w:p>
    <w:p w14:paraId="2DD0A4AC">
      <w:r>
        <w:rPr>
          <w:rFonts w:ascii="Times New Roman" w:hAnsi="Times New Roman" w:eastAsia="宋体"/>
          <w:sz w:val="24"/>
        </w:rPr>
        <w:t>这一定义需要明确保留下来。第一，图7和表5可以用来说明改革影响具有动态展开过程，而非瞬时完成。第二，领先项存在显著性或边际显著性，意味着识别边界仍然存在，处理前差异不能被完全排除。第三，对于质量型口径，动态图中的正负波动只能作为辅助展示，不能被抬升为对主结论的替代。因此，本文对事件研究的处理方式是克制的：它只作为路径展示和识别限制说明，而不作为强因果识别的附加背书。 基于上述动态路径与识别边界，后文进一步采用趋势调整型DID、逐省剔除诊断和更保守小样本推断，对推进结构结果在更严格趋势设定和样本扰动下的稳定性进行防守性检验。</w:t>
      </w:r>
    </w:p>
    <w:p w14:paraId="66E241E6">
      <w:pPr>
        <w:spacing w:before="100" w:after="40" w:line="420" w:lineRule="auto"/>
        <w:jc w:val="left"/>
      </w:pPr>
      <w:r>
        <w:rPr>
          <w:rFonts w:ascii="Times New Roman" w:hAnsi="Times New Roman" w:eastAsia="宋体"/>
          <w:b/>
          <w:sz w:val="25"/>
          <w:szCs w:val="25"/>
        </w:rPr>
        <w:t>5.4 机制分析</w:t>
      </w:r>
    </w:p>
    <w:p w14:paraId="24409220">
      <w:pPr>
        <w:spacing w:before="0" w:after="0" w:line="420" w:lineRule="auto"/>
        <w:ind w:firstLine="420"/>
        <w:jc w:val="both"/>
      </w:pPr>
      <w:r>
        <w:rPr>
          <w:rFonts w:ascii="Times New Roman" w:hAnsi="Times New Roman" w:eastAsia="宋体"/>
          <w:sz w:val="24"/>
          <w:szCs w:val="24"/>
        </w:rPr>
        <w: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w:t>
      </w:r>
    </w:p>
    <w:p w14:paraId="5876C728">
      <w:pPr>
        <w:spacing w:before="0" w:after="0" w:line="420" w:lineRule="auto"/>
        <w:ind w:firstLine="420"/>
        <w:jc w:val="both"/>
        <w:rPr>
          <w:rFonts w:ascii="Times New Roman" w:hAnsi="Times New Roman" w:eastAsia="宋体"/>
          <w:sz w:val="24"/>
          <w:szCs w:val="24"/>
        </w:rPr>
      </w:pPr>
      <w:r>
        <w:rPr>
          <w:rFonts w:ascii="Times New Roman" w:hAnsi="Times New Roman" w:eastAsia="宋体"/>
          <w:sz w:val="24"/>
          <w:szCs w:val="24"/>
        </w:rPr>
        <w:t>表6汇总了机制检验的核心结果。首先，treat_share对A维度指数的影响显著，表明数字治理接口与数据协同确实是最先响应的治理环节，这与“接口优先”的理论判断一致。其次，treat_share对B维度和C维度相关方程也表现出显著影响，说明前端规范准入与采购—执行治理安排随改革推进而发生了重组。再次，在结果方程中，A维度中介项对exec_share和proc_share的系数方向与理论预期相符，但统计上并不稳定；链式路径中，B_idx→C_idx和C_idx→D_idx两段显著，而A_idx→B_idx不显著；严格中介分解的Sobel检验和Bootstrap区间均未支持稳定中介效应。</w:t>
      </w:r>
    </w:p>
    <w:p w14:paraId="70ABB4FB">
      <w:pPr>
        <w:spacing w:before="0" w:after="0" w:line="420" w:lineRule="auto"/>
        <w:ind w:firstLine="420"/>
        <w:jc w:val="both"/>
        <w:rPr>
          <w:rFonts w:ascii="Times New Roman" w:hAnsi="Times New Roman" w:eastAsia="宋体"/>
          <w:sz w:val="24"/>
          <w:szCs w:val="24"/>
        </w:rPr>
      </w:pPr>
    </w:p>
    <w:p w14:paraId="45F6FA7F">
      <w:pPr>
        <w:spacing w:before="0" w:after="0" w:line="420" w:lineRule="auto"/>
        <w:ind w:firstLine="420"/>
        <w:jc w:val="both"/>
        <w:rPr>
          <w:rFonts w:ascii="Times New Roman" w:hAnsi="Times New Roman" w:eastAsia="宋体"/>
          <w:sz w:val="24"/>
          <w:szCs w:val="24"/>
        </w:rPr>
      </w:pPr>
    </w:p>
    <w:p w14:paraId="1A020118">
      <w:pPr>
        <w:spacing w:before="0" w:after="0" w:line="420" w:lineRule="auto"/>
        <w:ind w:firstLine="420"/>
        <w:jc w:val="both"/>
        <w:rPr>
          <w:rFonts w:ascii="Times New Roman" w:hAnsi="Times New Roman" w:eastAsia="宋体"/>
          <w:sz w:val="24"/>
          <w:szCs w:val="24"/>
        </w:rPr>
      </w:pPr>
    </w:p>
    <w:p w14:paraId="0CB0F5DE">
      <w:pPr>
        <w:spacing w:before="0" w:after="0" w:line="420" w:lineRule="auto"/>
        <w:ind w:firstLine="420"/>
        <w:jc w:val="both"/>
        <w:rPr>
          <w:rFonts w:ascii="Times New Roman" w:hAnsi="Times New Roman" w:eastAsia="宋体"/>
          <w:sz w:val="24"/>
          <w:szCs w:val="24"/>
        </w:rPr>
      </w:pPr>
    </w:p>
    <w:p w14:paraId="52D7C45B">
      <w:pPr>
        <w:spacing w:before="0" w:after="0" w:line="420" w:lineRule="auto"/>
        <w:ind w:firstLine="420"/>
        <w:jc w:val="both"/>
        <w:rPr>
          <w:rFonts w:ascii="Times New Roman" w:hAnsi="Times New Roman" w:eastAsia="宋体"/>
          <w:sz w:val="24"/>
          <w:szCs w:val="24"/>
        </w:rPr>
      </w:pPr>
    </w:p>
    <w:p w14:paraId="688846C3">
      <w:pPr>
        <w:spacing w:before="0" w:after="0" w:line="420" w:lineRule="auto"/>
        <w:ind w:firstLine="420"/>
        <w:jc w:val="both"/>
        <w:rPr>
          <w:rFonts w:ascii="Times New Roman" w:hAnsi="Times New Roman" w:eastAsia="宋体"/>
          <w:sz w:val="24"/>
          <w:szCs w:val="24"/>
        </w:rPr>
      </w:pPr>
    </w:p>
    <w:p w14:paraId="2710B73D">
      <w:pPr>
        <w:spacing w:before="0" w:after="0" w:line="420" w:lineRule="auto"/>
        <w:ind w:firstLine="420"/>
        <w:jc w:val="both"/>
        <w:rPr>
          <w:rFonts w:ascii="Times New Roman" w:hAnsi="Times New Roman" w:eastAsia="宋体"/>
          <w:sz w:val="24"/>
          <w:szCs w:val="24"/>
        </w:rPr>
      </w:pPr>
    </w:p>
    <w:p w14:paraId="5F78348B">
      <w:pPr>
        <w:spacing w:before="0" w:after="0" w:line="420" w:lineRule="auto"/>
        <w:ind w:firstLine="420"/>
        <w:jc w:val="both"/>
        <w:rPr>
          <w:rFonts w:ascii="Times New Roman" w:hAnsi="Times New Roman" w:eastAsia="宋体"/>
          <w:sz w:val="24"/>
          <w:szCs w:val="24"/>
        </w:rPr>
      </w:pPr>
    </w:p>
    <w:p w14:paraId="187C13EB">
      <w:pPr>
        <w:spacing w:before="0" w:after="0" w:line="420" w:lineRule="auto"/>
        <w:ind w:firstLine="420"/>
        <w:jc w:val="both"/>
        <w:rPr>
          <w:rFonts w:ascii="Times New Roman" w:hAnsi="Times New Roman" w:eastAsia="宋体"/>
          <w:sz w:val="24"/>
          <w:szCs w:val="24"/>
        </w:rPr>
      </w:pPr>
    </w:p>
    <w:p w14:paraId="1DAA1B29">
      <w:pPr>
        <w:spacing w:before="0" w:after="0" w:line="420" w:lineRule="auto"/>
        <w:ind w:firstLine="420"/>
        <w:jc w:val="both"/>
        <w:rPr>
          <w:rFonts w:ascii="Times New Roman" w:hAnsi="Times New Roman" w:eastAsia="宋体"/>
          <w:sz w:val="24"/>
          <w:szCs w:val="24"/>
        </w:rPr>
      </w:pPr>
    </w:p>
    <w:p w14:paraId="103A39A0">
      <w:pPr>
        <w:spacing w:before="0" w:after="0" w:line="420" w:lineRule="auto"/>
        <w:ind w:firstLine="420"/>
        <w:jc w:val="both"/>
        <w:rPr>
          <w:rFonts w:ascii="Times New Roman" w:hAnsi="Times New Roman" w:eastAsia="宋体"/>
          <w:sz w:val="24"/>
          <w:szCs w:val="24"/>
        </w:rPr>
      </w:pPr>
    </w:p>
    <w:p w14:paraId="0CE5D0A1">
      <w:pPr>
        <w:spacing w:before="0" w:after="0" w:line="420" w:lineRule="auto"/>
        <w:ind w:firstLine="420"/>
        <w:jc w:val="both"/>
        <w:rPr>
          <w:rFonts w:ascii="Times New Roman" w:hAnsi="Times New Roman" w:eastAsia="宋体"/>
          <w:sz w:val="24"/>
          <w:szCs w:val="24"/>
        </w:rPr>
      </w:pPr>
    </w:p>
    <w:p w14:paraId="0342FB28">
      <w:pPr>
        <w:spacing w:before="0" w:after="0" w:line="420" w:lineRule="auto"/>
        <w:ind w:firstLine="420"/>
        <w:jc w:val="both"/>
        <w:rPr>
          <w:rFonts w:ascii="Times New Roman" w:hAnsi="Times New Roman" w:eastAsia="宋体"/>
          <w:sz w:val="24"/>
          <w:szCs w:val="24"/>
        </w:rPr>
      </w:pPr>
    </w:p>
    <w:p w14:paraId="6C98A328">
      <w:pPr>
        <w:spacing w:before="0" w:after="0" w:line="420" w:lineRule="auto"/>
        <w:ind w:firstLine="420"/>
        <w:jc w:val="both"/>
        <w:rPr>
          <w:rFonts w:ascii="Times New Roman" w:hAnsi="Times New Roman" w:eastAsia="宋体"/>
          <w:sz w:val="24"/>
          <w:szCs w:val="24"/>
        </w:rPr>
      </w:pPr>
    </w:p>
    <w:p w14:paraId="6E9261C9">
      <w:pPr>
        <w:spacing w:before="0" w:after="0" w:line="420" w:lineRule="auto"/>
        <w:ind w:firstLine="420"/>
        <w:jc w:val="both"/>
        <w:rPr>
          <w:rFonts w:ascii="Times New Roman" w:hAnsi="Times New Roman" w:eastAsia="宋体"/>
          <w:sz w:val="24"/>
          <w:szCs w:val="24"/>
        </w:rPr>
      </w:pPr>
    </w:p>
    <w:p w14:paraId="02FB14A3">
      <w:pPr>
        <w:spacing w:before="0" w:after="0" w:line="420" w:lineRule="auto"/>
        <w:ind w:firstLine="420"/>
        <w:jc w:val="both"/>
        <w:rPr>
          <w:rFonts w:ascii="Times New Roman" w:hAnsi="Times New Roman" w:eastAsia="宋体"/>
          <w:sz w:val="24"/>
          <w:szCs w:val="24"/>
        </w:rPr>
      </w:pPr>
    </w:p>
    <w:p w14:paraId="40F027FD">
      <w:pPr>
        <w:spacing w:before="0" w:after="0" w:line="420" w:lineRule="auto"/>
        <w:ind w:firstLine="420"/>
        <w:jc w:val="both"/>
        <w:rPr>
          <w:rFonts w:ascii="Times New Roman" w:hAnsi="Times New Roman" w:eastAsia="宋体"/>
          <w:sz w:val="24"/>
          <w:szCs w:val="24"/>
        </w:rPr>
      </w:pPr>
    </w:p>
    <w:p w14:paraId="4887AC82">
      <w:pPr>
        <w:spacing w:before="0" w:after="0" w:line="420" w:lineRule="auto"/>
        <w:jc w:val="both"/>
        <w:rPr>
          <w:rFonts w:ascii="Times New Roman" w:hAnsi="Times New Roman" w:eastAsia="宋体"/>
          <w:sz w:val="24"/>
          <w:szCs w:val="24"/>
        </w:rPr>
      </w:pPr>
    </w:p>
    <w:p w14:paraId="76CA5098">
      <w:pPr>
        <w:spacing w:before="0" w:after="40" w:line="420" w:lineRule="auto"/>
        <w:jc w:val="center"/>
      </w:pPr>
      <w:r>
        <w:rPr>
          <w:rFonts w:ascii="Times New Roman" w:hAnsi="Times New Roman" w:eastAsia="宋体"/>
          <w:sz w:val="21"/>
          <w:szCs w:val="21"/>
        </w:rPr>
        <w:t>表6 机制检验主结果表</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0"/>
        <w:gridCol w:w="2238"/>
        <w:gridCol w:w="2035"/>
        <w:gridCol w:w="520"/>
        <w:gridCol w:w="2269"/>
      </w:tblGrid>
      <w:tr w14:paraId="6BEC2F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69D92BC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机制层级</w:t>
            </w:r>
          </w:p>
        </w:tc>
        <w:tc>
          <w:tcPr>
            <w:tcW w:w="223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1677DF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核心链条/结果</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8D411AA">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核心系数与显著性</w:t>
            </w:r>
          </w:p>
        </w:tc>
        <w:tc>
          <w:tcPr>
            <w:tcW w:w="52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AD70AD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N</w:t>
            </w:r>
          </w:p>
        </w:tc>
        <w:tc>
          <w:tcPr>
            <w:tcW w:w="22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D0C74E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结论</w:t>
            </w:r>
          </w:p>
        </w:tc>
      </w:tr>
      <w:tr w14:paraId="17AE9D5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72DEEF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A维度先行响应</w:t>
            </w:r>
          </w:p>
        </w:tc>
        <w:tc>
          <w:tcPr>
            <w:tcW w:w="223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D8C562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treat_share→A_idx</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2ACBB3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175.5750*** [p=&lt;0.001]</w:t>
            </w:r>
          </w:p>
        </w:tc>
        <w:tc>
          <w:tcPr>
            <w:tcW w:w="5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94B73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99A820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接口维度显著先行</w:t>
            </w:r>
          </w:p>
        </w:tc>
      </w:tr>
      <w:tr w14:paraId="2D2BAC5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709471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前端规范响应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1BE3854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treat_share→B_idx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75E33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-296.7251***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7D2A771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137639F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B维度发生显著调整</w:t>
            </w:r>
          </w:p>
        </w:tc>
      </w:tr>
      <w:tr w14:paraId="1064C72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B701D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7D9F3BD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B_idx→C_idx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E048F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0.8578***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6B81A6D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0797CF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前端规范向采购执行维度传导</w:t>
            </w:r>
          </w:p>
        </w:tc>
      </w:tr>
      <w:tr w14:paraId="1DACD6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4B3EE1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60BFB07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C_idx→D_idx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9F94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0.0934***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5F4166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77B50F0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后端风险约束存在局部传导</w:t>
            </w:r>
          </w:p>
        </w:tc>
      </w:tr>
      <w:tr w14:paraId="673623E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0286D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后端直接效应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6A92C6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D35B4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0.0533 [p=0.999]</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25C253C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18DD0C2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未观察到稳定直接响应</w:t>
            </w:r>
          </w:p>
        </w:tc>
      </w:tr>
      <w:tr w14:paraId="797DF03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BF2A4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0877AE6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D460B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did=0.3074*** [p=0.008]</w:t>
            </w:r>
          </w:p>
          <w:p w14:paraId="30BCB4C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[p=0.283]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9D09C7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00E08D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w14:paraId="716F1F6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E0EBD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581EB0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2E4B8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did=-0.3575*** [p=0.002]</w:t>
            </w:r>
          </w:p>
          <w:p w14:paraId="420FB1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[p=0.310]</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155B128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5DB366B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w14:paraId="275EF9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B079A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4849E1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86AA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did=0.4663 [p=0.271]</w:t>
            </w:r>
          </w:p>
          <w:p w14:paraId="24C391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[p=0.321]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466CC6F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5D8F11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质量型结果不稳</w:t>
            </w:r>
          </w:p>
        </w:tc>
      </w:tr>
      <w:tr w14:paraId="1507D02F">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159A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1A686EE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38D0A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ab=0.0415</w:t>
            </w:r>
          </w:p>
          <w:p w14:paraId="313512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p=0.364</w:t>
            </w:r>
          </w:p>
          <w:p w14:paraId="119FFD4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CI=[-0.279, 0.163]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69CFF41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2173673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w14:paraId="219A7D6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9BABF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7F6D8C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1AC3F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ab=-0.0391</w:t>
            </w:r>
          </w:p>
          <w:p w14:paraId="6725A34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p=0.377</w:t>
            </w:r>
          </w:p>
          <w:p w14:paraId="5A03BCE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CI=[-0.157, 0.264]</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FCE3E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6D7CF9C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w14:paraId="2F055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6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FDC67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92C410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203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EB1FA0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ab=0.0406</w:t>
            </w:r>
          </w:p>
          <w:p w14:paraId="0C08C5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p=0.512</w:t>
            </w:r>
          </w:p>
          <w:p w14:paraId="471EF2D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CI=[-0.416, 0.201]</w:t>
            </w:r>
          </w:p>
        </w:tc>
        <w:tc>
          <w:tcPr>
            <w:tcW w:w="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0BA939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619708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bl>
    <w:p w14:paraId="68967DF6">
      <w:pPr>
        <w:spacing w:before="0" w:after="0" w:line="420" w:lineRule="auto"/>
        <w:ind w:firstLine="420"/>
        <w:jc w:val="both"/>
      </w:pPr>
      <w:r>
        <w:rPr>
          <w:rFonts w:ascii="Times New Roman" w:hAnsi="Times New Roman" w:eastAsia="宋体"/>
          <w:sz w:val="24"/>
          <w:szCs w:val="24"/>
        </w:rPr>
        <w:t>综合来看，当前机制证据更支持“接口优先、前端规范先行、局部传导存在”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并未在严格意义上构成一条从前端到后端均稳定显著的强中介链条。</w:t>
      </w:r>
    </w:p>
    <w:p w14:paraId="5AFAB6AF">
      <w:pPr>
        <w:spacing w:before="0" w:after="0" w:line="420" w:lineRule="auto"/>
        <w:ind w:firstLine="420"/>
        <w:jc w:val="both"/>
      </w:pPr>
      <w:r>
        <w:rPr>
          <w:rFonts w:ascii="Times New Roman" w:hAnsi="Times New Roman" w:eastAsia="宋体"/>
          <w:sz w:val="24"/>
          <w:szCs w:val="24"/>
        </w:rPr>
        <w:t>从公共管理角度看，这一结果的含义在于，PPP治理过程的改进首先依赖制度接口和程序环境的调整，而非所有治理环节同步升级；从证据边界看，表6支持的是部分机制和阶段性传导，而不是完整闭合的机制证明。</w:t>
      </w:r>
    </w:p>
    <w:p w14:paraId="736049D1">
      <w:pPr>
        <w:spacing w:before="100" w:after="40" w:line="420" w:lineRule="auto"/>
        <w:jc w:val="left"/>
      </w:pPr>
      <w:r>
        <w:rPr>
          <w:rFonts w:ascii="Times New Roman" w:hAnsi="Times New Roman" w:eastAsia="宋体"/>
          <w:b/>
          <w:sz w:val="25"/>
          <w:szCs w:val="25"/>
        </w:rPr>
        <w:t>5.5 异质性分析</w:t>
      </w:r>
    </w:p>
    <w:p w14:paraId="45E15243">
      <w:pPr>
        <w:spacing w:before="0" w:after="0" w:line="420" w:lineRule="auto"/>
        <w:ind w:firstLine="420"/>
        <w:jc w:val="both"/>
      </w:pPr>
      <w:r>
        <w:rPr>
          <w:rFonts w:ascii="Times New Roman" w:hAnsi="Times New Roman" w:eastAsia="宋体"/>
          <w:sz w:val="24"/>
          <w:szCs w:val="24"/>
        </w:rPr>
        <w:t>在主结果和机制线索之外，本文进一步考察改革效应是否在不同治理环境下存在差异。异质性分析的作用是补充适用边界，而不是生成第二主结论，因此其解释强度必须低于基准结果和机制分析。</w:t>
      </w:r>
    </w:p>
    <w:p w14:paraId="076A2F21">
      <w:pPr>
        <w:spacing w:before="0" w:after="0" w:line="420" w:lineRule="auto"/>
        <w:ind w:firstLine="420"/>
        <w:jc w:val="both"/>
      </w:pPr>
      <w:r>
        <w:rPr>
          <w:rFonts w:ascii="Times New Roman" w:hAnsi="Times New Roman" w:eastAsia="宋体"/>
          <w:sz w:val="24"/>
          <w:szCs w:val="24"/>
        </w:rPr>
        <w:t>表7报告了围绕区域差异、数字基础、风险暴露和政府数据开放度等维度</w:t>
      </w:r>
      <w:r>
        <w:rPr>
          <w:rFonts w:hint="eastAsia"/>
          <w:sz w:val="24"/>
          <w:szCs w:val="24"/>
          <w:lang w:val="en-US" w:eastAsia="zh-CN"/>
        </w:rPr>
        <w:t>S</w:t>
      </w:r>
      <w:r>
        <w:rPr>
          <w:rFonts w:ascii="Times New Roman" w:hAnsi="Times New Roman" w:eastAsia="宋体"/>
          <w:sz w:val="24"/>
          <w:szCs w:val="24"/>
        </w:rPr>
        <w:t>的交互检验结果。整体上看，大多数交互项并未形成稳定显著，尤其在exec_share与proc_share这两个核心推进结构指标上，异质性结果并不充分。个别质量型结果上虽出现局部交互信号，但考虑到ppp_quality_zindex本身不承担主结论，这些局部差异也不宜被进一步放大。</w:t>
      </w:r>
    </w:p>
    <w:p w14:paraId="3C9B636F">
      <w:pPr>
        <w:spacing w:before="0" w:after="40" w:line="420" w:lineRule="auto"/>
        <w:jc w:val="center"/>
      </w:pPr>
      <w:r>
        <w:rPr>
          <w:rFonts w:ascii="Times New Roman" w:hAnsi="Times New Roman" w:eastAsia="宋体"/>
          <w:sz w:val="21"/>
          <w:szCs w:val="21"/>
        </w:rPr>
        <w:t>表7 异质性结果摘要表</w:t>
      </w:r>
    </w:p>
    <w:tbl>
      <w:tblPr>
        <w:tblStyle w:val="2"/>
        <w:tblW w:w="8803"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3"/>
        <w:gridCol w:w="1932"/>
        <w:gridCol w:w="1075"/>
        <w:gridCol w:w="1429"/>
        <w:gridCol w:w="500"/>
        <w:gridCol w:w="2404"/>
      </w:tblGrid>
      <w:tr w14:paraId="7F609B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5BE597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异质性维度</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0B8A58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75DCCF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交互项</w:t>
            </w:r>
          </w:p>
        </w:tc>
        <w:tc>
          <w:tcPr>
            <w:tcW w:w="142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CE76DD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交互结果</w:t>
            </w:r>
          </w:p>
        </w:tc>
        <w:tc>
          <w:tcPr>
            <w:tcW w:w="50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B987AC7">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240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3EA06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解释</w:t>
            </w:r>
          </w:p>
        </w:tc>
      </w:tr>
      <w:tr w14:paraId="2BF3817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0B43B0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4C04C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E029FC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9D7EF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-0.4554*** [p=&lt;0.001]</w:t>
            </w:r>
          </w:p>
        </w:tc>
        <w:tc>
          <w:tcPr>
            <w:tcW w:w="50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D6A3E8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37B948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3B70B9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9AD3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A4C0A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8220C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FBD55F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0.4188***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3B92B41F">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0E78252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043B7A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3AAF2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治理基础高低</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B15FE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3ACB3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FD8A26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-0.4548***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370392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26CCA51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7C703B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52253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D17DF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A7E6F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AD4630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-0.2440 [p=0.368]</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67471B7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38CFFAE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6A8F9D5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6A74A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6ED2A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56B822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3927ED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0.2259 [p=0.337]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69743A3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063AB1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6FCE63B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8D1D4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8D88C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6FEAA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700B79F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-0.0879 [p=0.916]</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53D841B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4FC38AE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5021786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1E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3BE90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C7777B">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0A9BEF0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0.1190 [p=0.747]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54C0231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39A152C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w14:paraId="47A27C7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A7F56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7043D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2704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7DF6A77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-0.2328 [p=0.535]</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75EED93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15F2987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w14:paraId="2B3C4B6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46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EF6B76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9AA630E">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07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8EF7D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699637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-0.8604 [p=0.481]</w:t>
            </w:r>
          </w:p>
        </w:tc>
        <w:tc>
          <w:tcPr>
            <w:tcW w:w="50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5A3D67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84EB33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bl>
    <w:p w14:paraId="20FD3BEC">
      <w:pPr>
        <w:spacing w:before="0" w:after="0" w:line="420" w:lineRule="auto"/>
        <w:ind w:firstLine="420"/>
        <w:jc w:val="both"/>
      </w:pPr>
      <w:r>
        <w:rPr>
          <w:rFonts w:ascii="Times New Roman" w:hAnsi="Times New Roman" w:eastAsia="宋体"/>
          <w:sz w:val="24"/>
          <w:szCs w:val="24"/>
        </w:rPr>
        <w:t>因此，本文对异质性部分的处理是保守的。它更多说明数字化改革的推进结构效应在不同治理环境中可能存在程度差异，但现阶段并不足以据此重写主结论。对公共管理研究而言，表7的价值主要在于提示适用边界和情境差异，而不是提供一组新的中心发现。</w:t>
      </w:r>
    </w:p>
    <w:p w14:paraId="40047F1B">
      <w:r>
        <w:rPr>
          <w:rFonts w:ascii="Times New Roman" w:hAnsi="Times New Roman" w:eastAsia="宋体"/>
          <w:b/>
          <w:sz w:val="25"/>
        </w:rPr>
        <w:t>5.6 稳健性检验与主识别防守</w:t>
      </w:r>
    </w:p>
    <w:p w14:paraId="4ED499A3">
      <w:r>
        <w:rPr>
          <w:rFonts w:ascii="Times New Roman" w:hAnsi="Times New Roman" w:eastAsia="宋体"/>
          <w:sz w:val="24"/>
        </w:rPr>
        <w:t>本节不再叠加新的主识别模型，而是围绕表4所报告的treat_share多期DID/TWFE主结果，检验“PPP推进结构改善优先”这一核心判断在若干关键识别挑战下是否仍然成立。具体而言，以下检验分别对应三类问题：其一，省际异质趋势是否会明显改变推进结构结果；其二，核心结论是否主要由单一地区驱动；其三，在更保守的小样本推断下，统计强度会减弱到什么程度。与此相对，stack DID、cohort ATT和动态补充识别仅保留为边界诊断，不再承担正文中的主防守功能。</w:t>
      </w:r>
    </w:p>
    <w:p w14:paraId="1D3E859C">
      <w:pPr>
        <w:jc w:val="left"/>
      </w:pPr>
      <w:r>
        <w:rPr>
          <w:rFonts w:ascii="Times New Roman" w:hAnsi="Times New Roman" w:eastAsia="宋体"/>
          <w:b/>
          <w:sz w:val="24"/>
        </w:rPr>
        <w:t>5.6.1 趋势调整型防守检验</w:t>
      </w:r>
    </w:p>
    <w:p w14:paraId="76682969">
      <w:r>
        <w:rPr>
          <w:rFonts w:ascii="Times New Roman" w:hAnsi="Times New Roman" w:eastAsia="宋体"/>
          <w:sz w:val="24"/>
        </w:rPr>
        <w:t>考虑到前文事件研究的领先项并不完全平稳，本文在基准规格之外进一步加入省份线性时间趋势，对主结果进行趋势调整型DID检验。该检验保持正式主面板、处理变量、控制变量、地区固定效应和年份固定效应不变，仅额外控制省份层面的线性趋势，因此其功能是回应“共同趋势设定过强”这一识别顾虑，而不是替代表4的主识别框架。表8汇总了主识别防守层的核心结果，图8A则将基准DID与趋势调整型DID的估计系数及95%置信区间并置展示。</w:t>
      </w:r>
    </w:p>
    <w:p w14:paraId="440A0EDF">
      <w:pPr>
        <w:jc w:val="center"/>
      </w:pPr>
      <w:r>
        <w:rPr>
          <w:rFonts w:ascii="Times New Roman" w:hAnsi="Times New Roman" w:eastAsia="宋体"/>
          <w:sz w:val="21"/>
        </w:rPr>
        <w:t>表8 主识别防守型稳健性检验摘要</w:t>
      </w:r>
    </w:p>
    <w:tbl>
      <w:tblPr>
        <w:tblStyle w:val="2"/>
        <w:tblW w:w="8610"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146"/>
        <w:gridCol w:w="1520"/>
        <w:gridCol w:w="1520"/>
        <w:gridCol w:w="1404"/>
        <w:gridCol w:w="3020"/>
      </w:tblGrid>
      <w:tr w14:paraId="73F1779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114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12EB8CD0">
            <w:pPr>
              <w:snapToGrid w:val="0"/>
              <w:ind w:left="0" w:leftChars="0" w:right="0" w:rightChars="0" w:firstLine="0" w:firstLineChars="0"/>
              <w:jc w:val="center"/>
              <w:rPr>
                <w:rFonts w:ascii="Times New Roman" w:eastAsia="宋体"/>
                <w:b/>
                <w:color w:val="000000"/>
                <w:sz w:val="21"/>
              </w:rPr>
            </w:pPr>
            <w:r>
              <w:rPr>
                <w:rFonts w:ascii="Times New Roman" w:hAnsi="Times New Roman" w:eastAsia="宋体"/>
                <w:b/>
                <w:color w:val="000000"/>
                <w:sz w:val="21"/>
              </w:rPr>
              <w:t>检验层级</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CA3D60C">
            <w:pPr>
              <w:snapToGrid w:val="0"/>
              <w:ind w:left="0" w:leftChars="0" w:right="0" w:rightChars="0" w:firstLine="0" w:firstLineChars="0"/>
              <w:jc w:val="center"/>
              <w:rPr>
                <w:rFonts w:ascii="Times New Roman" w:eastAsia="宋体"/>
                <w:b/>
                <w:color w:val="000000"/>
                <w:sz w:val="21"/>
              </w:rPr>
            </w:pPr>
            <w:r>
              <w:rPr>
                <w:rFonts w:ascii="Times New Roman" w:hAnsi="Times New Roman" w:eastAsia="宋体"/>
                <w:b/>
                <w:color w:val="000000"/>
                <w:sz w:val="21"/>
              </w:rPr>
              <w:t>执行阶段占比</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F524504">
            <w:pPr>
              <w:snapToGrid w:val="0"/>
              <w:ind w:left="0" w:leftChars="0" w:right="0" w:rightChars="0" w:firstLine="0" w:firstLineChars="0"/>
              <w:jc w:val="center"/>
              <w:rPr>
                <w:rFonts w:ascii="Times New Roman" w:eastAsia="宋体"/>
                <w:b/>
                <w:color w:val="000000"/>
                <w:sz w:val="21"/>
              </w:rPr>
            </w:pPr>
            <w:r>
              <w:rPr>
                <w:rFonts w:ascii="Times New Roman" w:hAnsi="Times New Roman" w:eastAsia="宋体"/>
                <w:b/>
                <w:color w:val="000000"/>
                <w:sz w:val="21"/>
              </w:rPr>
              <w:t>采购阶段占比</w:t>
            </w:r>
          </w:p>
        </w:tc>
        <w:tc>
          <w:tcPr>
            <w:tcW w:w="140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0E5B2AF">
            <w:pPr>
              <w:snapToGrid w:val="0"/>
              <w:ind w:left="0" w:leftChars="0" w:right="0" w:rightChars="0" w:firstLine="0" w:firstLineChars="0"/>
              <w:jc w:val="center"/>
              <w:rPr>
                <w:rFonts w:ascii="Times New Roman" w:eastAsia="宋体"/>
                <w:b/>
                <w:color w:val="000000"/>
                <w:sz w:val="21"/>
              </w:rPr>
            </w:pPr>
            <w:r>
              <w:rPr>
                <w:rFonts w:ascii="Times New Roman" w:hAnsi="Times New Roman" w:eastAsia="宋体"/>
                <w:b/>
                <w:color w:val="000000"/>
                <w:sz w:val="21"/>
              </w:rPr>
              <w:t>综合治理质量</w:t>
            </w:r>
          </w:p>
        </w:tc>
        <w:tc>
          <w:tcPr>
            <w:tcW w:w="302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DDD1F15">
            <w:pPr>
              <w:snapToGrid w:val="0"/>
              <w:ind w:left="0" w:leftChars="0" w:right="0" w:rightChars="0" w:firstLine="0" w:firstLineChars="0"/>
              <w:jc w:val="center"/>
              <w:rPr>
                <w:rFonts w:ascii="Times New Roman" w:eastAsia="宋体"/>
                <w:b/>
                <w:color w:val="000000"/>
                <w:sz w:val="21"/>
              </w:rPr>
            </w:pPr>
            <w:r>
              <w:rPr>
                <w:rFonts w:ascii="Times New Roman" w:hAnsi="Times New Roman" w:eastAsia="宋体"/>
                <w:b/>
                <w:color w:val="000000"/>
                <w:sz w:val="21"/>
              </w:rPr>
              <w:t>结论口径</w:t>
            </w:r>
          </w:p>
        </w:tc>
      </w:tr>
      <w:tr w14:paraId="1BFBE69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14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FA98C49">
            <w:pPr>
              <w:snapToGrid w:val="0"/>
              <w:ind w:left="0" w:leftChars="0" w:right="0" w:rightChars="0" w:firstLine="0" w:firstLineChars="0"/>
              <w:jc w:val="center"/>
              <w:rPr>
                <w:rFonts w:ascii="Times New Roman" w:eastAsia="宋体"/>
                <w:b w:val="0"/>
                <w:color w:val="000000"/>
                <w:sz w:val="21"/>
              </w:rPr>
            </w:pPr>
            <w:r>
              <w:rPr>
                <w:rFonts w:ascii="Times New Roman" w:hAnsi="Times New Roman" w:eastAsia="宋体"/>
                <w:b w:val="0"/>
                <w:color w:val="000000"/>
                <w:sz w:val="21"/>
              </w:rPr>
              <w:t>趋势调整型DID</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AFBF041">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0.2263</w:t>
            </w:r>
            <w:r>
              <w:rPr>
                <w:rFonts w:ascii="Times New Roman" w:hAnsi="Times New Roman" w:eastAsia="宋体"/>
                <w:b w:val="0"/>
                <w:color w:val="000000"/>
                <w:sz w:val="21"/>
              </w:rPr>
              <w:br w:type="textWrapping"/>
            </w:r>
            <w:r>
              <w:rPr>
                <w:rFonts w:ascii="Times New Roman" w:hAnsi="Times New Roman" w:eastAsia="宋体"/>
                <w:b w:val="0"/>
                <w:color w:val="000000"/>
                <w:sz w:val="21"/>
              </w:rPr>
              <w:t>[p=0.194]</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255A4BD">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-0.3521**</w:t>
            </w:r>
            <w:r>
              <w:rPr>
                <w:rFonts w:ascii="Times New Roman" w:hAnsi="Times New Roman" w:eastAsia="宋体"/>
                <w:b w:val="0"/>
                <w:color w:val="000000"/>
                <w:sz w:val="21"/>
              </w:rPr>
              <w:br w:type="textWrapping"/>
            </w:r>
            <w:r>
              <w:rPr>
                <w:rFonts w:ascii="Times New Roman" w:hAnsi="Times New Roman" w:eastAsia="宋体"/>
                <w:b w:val="0"/>
                <w:color w:val="000000"/>
                <w:sz w:val="21"/>
              </w:rPr>
              <w:t>[p=0.048]</w:t>
            </w:r>
          </w:p>
        </w:tc>
        <w:tc>
          <w:tcPr>
            <w:tcW w:w="140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37C9F9E">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-0.1699</w:t>
            </w:r>
            <w:r>
              <w:rPr>
                <w:rFonts w:ascii="Times New Roman" w:hAnsi="Times New Roman" w:eastAsia="宋体"/>
                <w:b w:val="0"/>
                <w:color w:val="000000"/>
                <w:sz w:val="21"/>
              </w:rPr>
              <w:br w:type="textWrapping"/>
            </w:r>
            <w:r>
              <w:rPr>
                <w:rFonts w:ascii="Times New Roman" w:hAnsi="Times New Roman" w:eastAsia="宋体"/>
                <w:b w:val="0"/>
                <w:color w:val="000000"/>
                <w:sz w:val="21"/>
              </w:rPr>
              <w:t>[p=0.678]</w:t>
            </w:r>
          </w:p>
        </w:tc>
        <w:tc>
          <w:tcPr>
            <w:tcW w:w="30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49209C1">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采购阶段下降仍可防守；执行阶段方向稳定但强度减弱；质量口径不稳</w:t>
            </w:r>
          </w:p>
        </w:tc>
      </w:tr>
      <w:tr w14:paraId="1F5651E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146" w:type="dxa"/>
            <w:tcBorders>
              <w:top w:val="nil"/>
              <w:left w:val="nil"/>
              <w:bottom w:val="nil"/>
              <w:right w:val="nil"/>
            </w:tcBorders>
            <w:shd w:val="clear" w:color="auto" w:fill="FFFFFF"/>
            <w:noWrap w:val="0"/>
            <w:tcMar>
              <w:top w:w="-1" w:type="dxa"/>
              <w:left w:w="-1" w:type="dxa"/>
              <w:bottom w:w="-1" w:type="dxa"/>
              <w:right w:w="-1" w:type="dxa"/>
            </w:tcMar>
            <w:vAlign w:val="center"/>
          </w:tcPr>
          <w:p w14:paraId="7E41CFE2">
            <w:pPr>
              <w:snapToGrid w:val="0"/>
              <w:ind w:left="0" w:leftChars="0" w:right="0" w:rightChars="0" w:firstLine="0" w:firstLineChars="0"/>
              <w:jc w:val="center"/>
              <w:rPr>
                <w:rFonts w:ascii="Times New Roman" w:eastAsia="宋体"/>
                <w:b w:val="0"/>
                <w:color w:val="000000"/>
                <w:sz w:val="21"/>
              </w:rPr>
            </w:pPr>
            <w:r>
              <w:rPr>
                <w:rFonts w:ascii="Times New Roman" w:hAnsi="Times New Roman" w:eastAsia="宋体"/>
                <w:b w:val="0"/>
                <w:color w:val="000000"/>
                <w:sz w:val="21"/>
              </w:rPr>
              <w:t>逐省剔除</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C4BC58">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不翻号；</w:t>
            </w:r>
            <w:r>
              <w:rPr>
                <w:rFonts w:ascii="Times New Roman" w:hAnsi="Times New Roman" w:eastAsia="宋体"/>
                <w:b w:val="0"/>
                <w:color w:val="000000"/>
                <w:sz w:val="21"/>
              </w:rPr>
              <w:br w:type="textWrapping"/>
            </w:r>
            <w:r>
              <w:rPr>
                <w:rFonts w:ascii="Times New Roman" w:hAnsi="Times New Roman" w:eastAsia="宋体"/>
                <w:b w:val="0"/>
                <w:color w:val="000000"/>
                <w:sz w:val="21"/>
              </w:rPr>
              <w:t>1次显著性跳变</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F9AB50">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不翻号；</w:t>
            </w:r>
            <w:r>
              <w:rPr>
                <w:rFonts w:ascii="Times New Roman" w:hAnsi="Times New Roman" w:eastAsia="宋体"/>
                <w:b w:val="0"/>
                <w:color w:val="000000"/>
                <w:sz w:val="21"/>
              </w:rPr>
              <w:br w:type="textWrapping"/>
            </w:r>
            <w:r>
              <w:rPr>
                <w:rFonts w:ascii="Times New Roman" w:hAnsi="Times New Roman" w:eastAsia="宋体"/>
                <w:b w:val="0"/>
                <w:color w:val="000000"/>
                <w:sz w:val="21"/>
              </w:rPr>
              <w:t>1次显著性跳变</w:t>
            </w:r>
          </w:p>
        </w:tc>
        <w:tc>
          <w:tcPr>
            <w:tcW w:w="1404" w:type="dxa"/>
            <w:tcBorders>
              <w:top w:val="nil"/>
              <w:left w:val="nil"/>
              <w:bottom w:val="nil"/>
              <w:right w:val="nil"/>
            </w:tcBorders>
            <w:shd w:val="clear" w:color="auto" w:fill="FFFFFF"/>
            <w:noWrap w:val="0"/>
            <w:tcMar>
              <w:top w:w="-1" w:type="dxa"/>
              <w:left w:w="-1" w:type="dxa"/>
              <w:bottom w:w="-1" w:type="dxa"/>
              <w:right w:w="-1" w:type="dxa"/>
            </w:tcMar>
            <w:vAlign w:val="center"/>
          </w:tcPr>
          <w:p w14:paraId="090E2E97">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不翻号但</w:t>
            </w:r>
            <w:r>
              <w:rPr>
                <w:rFonts w:ascii="Times New Roman" w:hAnsi="Times New Roman" w:eastAsia="宋体"/>
                <w:b w:val="0"/>
                <w:color w:val="000000"/>
                <w:sz w:val="21"/>
              </w:rPr>
              <w:br w:type="textWrapping"/>
            </w:r>
            <w:r>
              <w:rPr>
                <w:rFonts w:ascii="Times New Roman" w:hAnsi="Times New Roman" w:eastAsia="宋体"/>
                <w:b w:val="0"/>
                <w:color w:val="000000"/>
                <w:sz w:val="21"/>
              </w:rPr>
              <w:t>波动较大</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5C6B7A0D">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支持方向稳定，不支持完全不受样本结构影响</w:t>
            </w:r>
          </w:p>
        </w:tc>
      </w:tr>
      <w:tr w14:paraId="63BE237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14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2AE1EA8">
            <w:pPr>
              <w:snapToGrid w:val="0"/>
              <w:ind w:left="0" w:leftChars="0" w:right="0" w:rightChars="0" w:firstLine="0" w:firstLineChars="0"/>
              <w:jc w:val="center"/>
              <w:rPr>
                <w:rFonts w:ascii="Times New Roman" w:eastAsia="宋体"/>
                <w:b w:val="0"/>
                <w:color w:val="000000"/>
                <w:sz w:val="21"/>
              </w:rPr>
            </w:pPr>
            <w:r>
              <w:rPr>
                <w:rFonts w:ascii="Times New Roman" w:hAnsi="Times New Roman" w:eastAsia="宋体"/>
                <w:b w:val="0"/>
                <w:color w:val="000000"/>
                <w:sz w:val="21"/>
              </w:rPr>
              <w:t>wild bootstrap</w:t>
            </w:r>
          </w:p>
        </w:tc>
        <w:tc>
          <w:tcPr>
            <w:tcW w:w="1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1CF2E7D">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方向不变；</w:t>
            </w:r>
            <w:r>
              <w:rPr>
                <w:rFonts w:ascii="Times New Roman" w:hAnsi="Times New Roman" w:eastAsia="宋体"/>
                <w:b w:val="0"/>
                <w:color w:val="000000"/>
                <w:sz w:val="21"/>
              </w:rPr>
              <w:br w:type="textWrapping"/>
            </w:r>
            <w:r>
              <w:rPr>
                <w:rFonts w:ascii="Times New Roman" w:hAnsi="Times New Roman" w:eastAsia="宋体"/>
                <w:b w:val="0"/>
                <w:color w:val="000000"/>
                <w:sz w:val="21"/>
              </w:rPr>
              <w:t>p=0.076</w:t>
            </w:r>
          </w:p>
        </w:tc>
        <w:tc>
          <w:tcPr>
            <w:tcW w:w="1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F3D146A">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方向不变；</w:t>
            </w:r>
            <w:r>
              <w:rPr>
                <w:rFonts w:ascii="Times New Roman" w:hAnsi="Times New Roman" w:eastAsia="宋体"/>
                <w:b w:val="0"/>
                <w:color w:val="000000"/>
                <w:sz w:val="21"/>
              </w:rPr>
              <w:br w:type="textWrapping"/>
            </w:r>
            <w:r>
              <w:rPr>
                <w:rFonts w:ascii="Times New Roman" w:hAnsi="Times New Roman" w:eastAsia="宋体"/>
                <w:b w:val="0"/>
                <w:color w:val="000000"/>
                <w:sz w:val="21"/>
              </w:rPr>
              <w:t>p=0.122</w:t>
            </w:r>
          </w:p>
        </w:tc>
        <w:tc>
          <w:tcPr>
            <w:tcW w:w="14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4C8F23F">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方向不变；</w:t>
            </w:r>
            <w:r>
              <w:rPr>
                <w:rFonts w:ascii="Times New Roman" w:hAnsi="Times New Roman" w:eastAsia="宋体"/>
                <w:b w:val="0"/>
                <w:color w:val="000000"/>
                <w:sz w:val="21"/>
              </w:rPr>
              <w:br w:type="textWrapping"/>
            </w:r>
            <w:r>
              <w:rPr>
                <w:rFonts w:ascii="Times New Roman" w:hAnsi="Times New Roman" w:eastAsia="宋体"/>
                <w:b w:val="0"/>
                <w:color w:val="000000"/>
                <w:sz w:val="21"/>
              </w:rPr>
              <w:t>p=0.237</w:t>
            </w:r>
          </w:p>
        </w:tc>
        <w:tc>
          <w:tcPr>
            <w:tcW w:w="30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48DEA01">
            <w:pPr>
              <w:snapToGrid w:val="0"/>
              <w:ind w:left="0" w:leftChars="0" w:right="0" w:rightChars="0" w:firstLine="0" w:firstLineChars="0"/>
              <w:jc w:val="left"/>
              <w:rPr>
                <w:rFonts w:ascii="Times New Roman" w:eastAsia="宋体"/>
                <w:b w:val="0"/>
                <w:color w:val="000000"/>
                <w:sz w:val="21"/>
              </w:rPr>
            </w:pPr>
            <w:r>
              <w:rPr>
                <w:rFonts w:ascii="Times New Roman" w:hAnsi="Times New Roman" w:eastAsia="宋体"/>
                <w:b w:val="0"/>
                <w:color w:val="000000"/>
                <w:sz w:val="21"/>
              </w:rPr>
              <w:t>仅作更保守推断下的边界说明</w:t>
            </w:r>
          </w:p>
        </w:tc>
      </w:tr>
    </w:tbl>
    <w:p w14:paraId="26AA50D4">
      <w:pPr>
        <w:jc w:val="center"/>
      </w:pPr>
      <w:r>
        <w:drawing>
          <wp:inline distT="0" distB="0" distL="114300" distR="114300">
            <wp:extent cx="5577840" cy="3138170"/>
            <wp:effectExtent l="0" t="0" r="1016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5577840" cy="3138375"/>
                    </a:xfrm>
                    <a:prstGeom prst="rect">
                      <a:avLst/>
                    </a:prstGeom>
                  </pic:spPr>
                </pic:pic>
              </a:graphicData>
            </a:graphic>
          </wp:inline>
        </w:drawing>
      </w:r>
    </w:p>
    <w:p w14:paraId="025A7CF5">
      <w:pPr>
        <w:jc w:val="center"/>
      </w:pPr>
      <w:r>
        <w:rPr>
          <w:rFonts w:ascii="Times New Roman" w:hAnsi="Times New Roman" w:eastAsia="宋体"/>
          <w:sz w:val="21"/>
        </w:rPr>
        <w:t>图8A 趋势调整型 DID 与基准 DID 的结果比较</w:t>
      </w:r>
    </w:p>
    <w:p w14:paraId="52B15289">
      <w:r>
        <w:rPr>
          <w:rFonts w:ascii="Times New Roman" w:hAnsi="Times New Roman" w:eastAsia="宋体"/>
          <w:sz w:val="24"/>
        </w:rPr>
        <w:t>趋势调整后的结果显示，proc_share仍保持显著负向，说明采购阶段占比下降这一推进结构判断并不完全依赖共同趋势设定；exec_share仍为正向，但统计强度明显减弱，表明执行阶段占比上升这一判断在方向上稳定、但对趋势设定更为敏感。相比之下，ppp_quality_zindex在趋势调整后既未形成稳定统计支持，方向上也不再提供一致信号，因此仍不能承担全文主结论。</w:t>
      </w:r>
    </w:p>
    <w:p w14:paraId="067DCA7D">
      <w:pPr>
        <w:jc w:val="left"/>
      </w:pPr>
      <w:r>
        <w:rPr>
          <w:rFonts w:ascii="Times New Roman" w:hAnsi="Times New Roman" w:eastAsia="宋体"/>
          <w:b/>
          <w:sz w:val="24"/>
        </w:rPr>
        <w:t>5.6.2 单一地区驱动风险诊断：Leave-one-province-out</w:t>
      </w:r>
    </w:p>
    <w:p w14:paraId="3E463BB3">
      <w:pPr>
        <w:jc w:val="left"/>
      </w:pPr>
      <w:r>
        <w:rPr>
          <w:rFonts w:ascii="Times New Roman" w:hAnsi="Times New Roman" w:eastAsia="宋体"/>
          <w:sz w:val="24"/>
        </w:rPr>
        <w:t>为了判断基准DID结果是否主要由个别地区驱动，本文进一步实施逐省剔除的leave-one-province-out检验。在处理变量、控制变量、固定效应和聚类口径均保持不变的前提下，依次删除一个省份并重新估计，从而观察核心系数的方向是否翻转、显著性是否出现明显跳变，以及结果是否对特定地区异常敏感。结果显示，exec_share与proc_share在删除任一单一省份后均未发生符号翻转，但两项结果都存在一次显著性跳变，说明推进结构改善这一核心结论并非由某一个地区机械驱动，同时其统计强度对个别地区仍具有一定敏感性；ppp_quality_zindex同样未发生符号翻转，但幅度波动更大，进一步说明其更适合作为边界性结果，而不宜写成稳健的主发现。</w:t>
      </w:r>
    </w:p>
    <w:p w14:paraId="33C848FC">
      <w:pPr>
        <w:jc w:val="center"/>
      </w:pPr>
      <w:r>
        <w:drawing>
          <wp:inline distT="0" distB="0" distL="114300" distR="114300">
            <wp:extent cx="5577840" cy="4391025"/>
            <wp:effectExtent l="0" t="0" r="1016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5577840" cy="4391066"/>
                    </a:xfrm>
                    <a:prstGeom prst="rect">
                      <a:avLst/>
                    </a:prstGeom>
                  </pic:spPr>
                </pic:pic>
              </a:graphicData>
            </a:graphic>
          </wp:inline>
        </w:drawing>
      </w:r>
    </w:p>
    <w:p w14:paraId="7B6E8199">
      <w:pPr>
        <w:jc w:val="center"/>
      </w:pPr>
      <w:r>
        <w:rPr>
          <w:rFonts w:ascii="Times New Roman" w:hAnsi="Times New Roman" w:eastAsia="宋体"/>
          <w:sz w:val="21"/>
        </w:rPr>
        <w:t>图8B 删一省诊断下核心结果的系数稳定性</w:t>
      </w:r>
    </w:p>
    <w:p w14:paraId="0AA90E20">
      <w:pPr>
        <w:jc w:val="left"/>
      </w:pPr>
      <w:r>
        <w:rPr>
          <w:rFonts w:ascii="Times New Roman" w:hAnsi="Times New Roman" w:eastAsia="宋体"/>
          <w:b/>
          <w:sz w:val="24"/>
        </w:rPr>
        <w:t>5.6.3 更保守推断下的边界说明</w:t>
      </w:r>
    </w:p>
    <w:p w14:paraId="4513EFCB">
      <w:pPr>
        <w:jc w:val="left"/>
      </w:pPr>
      <w:r>
        <w:rPr>
          <w:rFonts w:ascii="Times New Roman" w:hAnsi="Times New Roman" w:eastAsia="宋体"/>
          <w:sz w:val="24"/>
        </w:rPr>
        <w:t>考虑到正式基准样本只有31个省级聚类，本文进一步使用更保守的wild cluster bootstrap作为小样本推断的补充说明。结果表明，exec_share和proc_share的方向与基准DID一致，但在更保守的小样本推断下，统计强度均有所减弱；ppp_quality_zindex仍未获得稳健支持。因此，wild cluster bootstrap最多支持“推进结构判断在方向上并未反转”，而不能被表述为对主结果的额外强化。</w:t>
      </w:r>
    </w:p>
    <w:p w14:paraId="516D8934">
      <w:pPr>
        <w:jc w:val="left"/>
      </w:pPr>
      <w:r>
        <w:rPr>
          <w:rFonts w:ascii="Times New Roman" w:hAnsi="Times New Roman" w:eastAsia="宋体"/>
          <w:b/>
          <w:sz w:val="24"/>
        </w:rPr>
        <w:t>5.6.4 其他补充识别结果（简述）</w:t>
      </w:r>
    </w:p>
    <w:p w14:paraId="18992DA2">
      <w:pPr>
        <w:jc w:val="left"/>
      </w:pPr>
      <w:r>
        <w:rPr>
          <w:rFonts w:ascii="Times New Roman" w:hAnsi="Times New Roman" w:eastAsia="宋体"/>
          <w:sz w:val="24"/>
        </w:rPr>
        <w:t>本文同时保留了stack DID、cohort ATT、动态补充识别、PSM-DID、DML与工具变量可行性筛查，但这些结果仅承担诊断性留痕与边界说明的功能：前几者主要用于判断结果方向是否反转、是否对cohort结构和样本匹配异常敏感，后几者则用于说明高维方向一致性与IV可行性的现实边界。现有结果并不支持把它们抬升为正文主防守层，因此正文仅作简短交代，不再展开其系数细节或</w:t>
      </w:r>
      <w:bookmarkStart w:id="0" w:name="_GoBack"/>
      <w:bookmarkEnd w:id="0"/>
      <w:r>
        <w:rPr>
          <w:rFonts w:ascii="Times New Roman" w:hAnsi="Times New Roman" w:eastAsia="宋体"/>
          <w:sz w:val="24"/>
        </w:rPr>
        <w:t>把它们写成额外强化证据。</w:t>
      </w:r>
    </w:p>
    <w:p w14:paraId="3F854742">
      <w:pPr>
        <w:spacing w:before="100" w:after="40" w:line="420" w:lineRule="auto"/>
        <w:jc w:val="left"/>
      </w:pPr>
      <w:r>
        <w:rPr>
          <w:rFonts w:ascii="Times New Roman" w:hAnsi="Times New Roman" w:eastAsia="宋体"/>
          <w:b/>
          <w:sz w:val="25"/>
          <w:szCs w:val="25"/>
        </w:rPr>
        <w:t>5.7 项目级扩展分析：高低风险的辅助识别</w:t>
      </w:r>
    </w:p>
    <w:p w14:paraId="62CAE315">
      <w:pPr>
        <w:spacing w:before="0" w:after="0" w:line="420" w:lineRule="auto"/>
        <w:ind w:firstLine="420"/>
        <w:jc w:val="both"/>
      </w:pPr>
      <w:r>
        <w:rPr>
          <w:rFonts w:ascii="Times New Roman" w:hAnsi="Times New Roman" w:eastAsia="宋体"/>
          <w:sz w:val="24"/>
          <w:szCs w:val="24"/>
        </w:rPr>
        <w:t>在完成省级面板上的主识别之后，本文进一步讨论项目级高低风险识别问题。但这里必须首先说明：预测不等于因果，模型也不替代治理。第9部分的任务，只是检验在严格避免标签泄漏的前提下，文本与结构变量是否能够服务于高低风险项目的排序与识别；它不参与全文主识别，也不改写基于treat_share的面板结论。</w:t>
      </w:r>
    </w:p>
    <w:p w14:paraId="21613630">
      <w:pPr>
        <w:spacing w:before="0" w:after="0" w:line="420" w:lineRule="auto"/>
        <w:ind w:firstLine="420"/>
        <w:jc w:val="both"/>
      </w:pPr>
      <w:r>
        <w:rPr>
          <w:rFonts w:ascii="Times New Roman" w:hAnsi="Times New Roman" w:eastAsia="宋体"/>
          <w:sz w:val="24"/>
          <w:szCs w:val="24"/>
        </w:rPr>
        <w:t>表9报告了六类模型在严格版项目底表上的预测表现。总体看，Blending模型的AUC为0.8593，略高于XGBoost和CatBoost；Logistic模型的总体AUC略低，但Recall更高，在高风险项目召回方面更有优势；RandomForest整体表现相对较弱。对正文而言，表9承担的是扩展分析主表的功能，它展示项目级结构性高低风险具有中等偏强的可识别性，但这一定义严格限于排序与识别任务。</w:t>
      </w:r>
    </w:p>
    <w:p w14:paraId="779678B7">
      <w:pPr>
        <w:spacing w:before="0" w:after="40" w:line="420" w:lineRule="auto"/>
        <w:jc w:val="center"/>
      </w:pPr>
      <w:r>
        <w:rPr>
          <w:rFonts w:ascii="Times New Roman" w:hAnsi="Times New Roman" w:eastAsia="宋体"/>
          <w:sz w:val="21"/>
          <w:szCs w:val="21"/>
        </w:rPr>
        <w:t>表9 项目级高低风险识别——六模型预测绩效比较</w:t>
      </w:r>
    </w:p>
    <w:tbl>
      <w:tblPr>
        <w:tblStyle w:val="2"/>
        <w:tblW w:w="8941"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3600"/>
        <w:gridCol w:w="802"/>
        <w:gridCol w:w="802"/>
        <w:gridCol w:w="803"/>
        <w:gridCol w:w="1051"/>
        <w:gridCol w:w="803"/>
        <w:gridCol w:w="1080"/>
      </w:tblGrid>
      <w:tr w14:paraId="5F06C35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3020"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1F9916D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模型</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3C14D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AUC</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0A8E0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AP</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71D976F">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F1</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73BA958">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Precision</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6ACAD1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Recall</w:t>
            </w:r>
          </w:p>
        </w:tc>
        <w:tc>
          <w:tcPr>
            <w:tcW w:w="115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4A913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Accuracy</w:t>
            </w:r>
          </w:p>
        </w:tc>
      </w:tr>
      <w:tr w14:paraId="35251D4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3EAD21">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Blending(RF+XGB+LGBM+CATB)</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548734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0.8593</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8BCA121">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A05D789">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0.5301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437626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0.7974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8F1036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0.3970</w:t>
            </w:r>
          </w:p>
        </w:tc>
        <w:tc>
          <w:tcPr>
            <w:tcW w:w="115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60F48B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0.8688</w:t>
            </w:r>
          </w:p>
        </w:tc>
      </w:tr>
      <w:tr w14:paraId="280D99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6972B2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XGBoost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51AE1AA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0.8589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5F7DFC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0.6895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873AA5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0.5617</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E1599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0.7638</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4EE5107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38CD4CF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0.8708</w:t>
            </w:r>
          </w:p>
        </w:tc>
      </w:tr>
      <w:tr w14:paraId="4C0693D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17411D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CatBoost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374022A">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0.8557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68C2043A">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0.6910</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004A0A3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0.5595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C5B04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0.7555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74AC727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104147A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0.8696</w:t>
            </w:r>
          </w:p>
        </w:tc>
      </w:tr>
      <w:tr w14:paraId="375A761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3A06141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Logistic</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49E338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0.8537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76ADF9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0.6515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7B2601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0.5840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88FA0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0.4831</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17B2ECC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0.7382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004175E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0.8040</w:t>
            </w:r>
          </w:p>
        </w:tc>
      </w:tr>
      <w:tr w14:paraId="7A0C23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7DDFB44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LightGBM</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2362EB6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0.8519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5F2EFD1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0.6769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2BFD6DD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0.5483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2B542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0.7163</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F17AEE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00925D7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0.8636</w:t>
            </w:r>
          </w:p>
        </w:tc>
      </w:tr>
      <w:tr w14:paraId="33D7284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F26052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RandomForest</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D9453B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0.8311</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093E17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0.6386</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19B982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0.1857</w:t>
            </w:r>
          </w:p>
        </w:tc>
        <w:tc>
          <w:tcPr>
            <w:tcW w:w="11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A41706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0.9412</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BE029D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0.1030</w:t>
            </w:r>
          </w:p>
        </w:tc>
        <w:tc>
          <w:tcPr>
            <w:tcW w:w="115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6CD5BE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0.8316</w:t>
            </w:r>
          </w:p>
        </w:tc>
      </w:tr>
    </w:tbl>
    <w:p w14:paraId="6FE7AA23">
      <w:r>
        <w:rPr>
          <w:rFonts w:ascii="Times New Roman" w:hAnsi="Times New Roman" w:eastAsia="宋体"/>
          <w:sz w:val="24"/>
        </w:rPr>
        <w:t>为了更直观地展示模型排序能力，图9给出ROC曲线比较，图10给出PR曲线比较。前者说明模型在总体排序上的区分能力，后者则更适合不平衡样本条件下的精确率—召回率比较。两张图共同服务于同一论点：文本与结构变量可以辅助识别高风险项目，但这属于治理辅助识别而非因果解释。</w:t>
      </w:r>
    </w:p>
    <w:p w14:paraId="7696C213">
      <w:pPr>
        <w:spacing w:before="60" w:after="60" w:line="360" w:lineRule="auto"/>
        <w:jc w:val="center"/>
      </w:pPr>
      <w:r>
        <w:drawing>
          <wp:inline distT="0" distB="0" distL="0" distR="0">
            <wp:extent cx="5577840" cy="38735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a:blip r:embed="rId13"/>
                    <a:stretch>
                      <a:fillRect/>
                    </a:stretch>
                  </pic:blipFill>
                  <pic:spPr>
                    <a:xfrm>
                      <a:off x="0" y="0"/>
                      <a:ext cx="5577840" cy="3873865"/>
                    </a:xfrm>
                    <a:prstGeom prst="rect">
                      <a:avLst/>
                    </a:prstGeom>
                  </pic:spPr>
                </pic:pic>
              </a:graphicData>
            </a:graphic>
          </wp:inline>
        </w:drawing>
      </w:r>
    </w:p>
    <w:p w14:paraId="0E2B5B05">
      <w:pPr>
        <w:jc w:val="center"/>
      </w:pPr>
      <w:r>
        <w:rPr>
          <w:rFonts w:ascii="Times New Roman" w:hAnsi="Times New Roman" w:eastAsia="宋体"/>
          <w:sz w:val="21"/>
        </w:rPr>
        <w:t>图9 项目级高低风险识别的ROC曲线比较</w:t>
      </w:r>
    </w:p>
    <w:p w14:paraId="61D39B81">
      <w:pPr>
        <w:spacing w:before="60" w:after="60" w:line="360" w:lineRule="auto"/>
        <w:jc w:val="center"/>
      </w:pPr>
      <w:r>
        <w:drawing>
          <wp:inline distT="0" distB="0" distL="0" distR="0">
            <wp:extent cx="5577840" cy="3873500"/>
            <wp:effectExtent l="0" t="0" r="0" b="0"/>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pic:cNvPicPr>
                  </pic:nvPicPr>
                  <pic:blipFill>
                    <a:blip r:embed="rId14"/>
                    <a:stretch>
                      <a:fillRect/>
                    </a:stretch>
                  </pic:blipFill>
                  <pic:spPr>
                    <a:xfrm>
                      <a:off x="0" y="0"/>
                      <a:ext cx="5577840" cy="3873865"/>
                    </a:xfrm>
                    <a:prstGeom prst="rect">
                      <a:avLst/>
                    </a:prstGeom>
                  </pic:spPr>
                </pic:pic>
              </a:graphicData>
            </a:graphic>
          </wp:inline>
        </w:drawing>
      </w:r>
    </w:p>
    <w:p w14:paraId="08A7054B">
      <w:pPr>
        <w:jc w:val="center"/>
      </w:pPr>
      <w:r>
        <w:rPr>
          <w:rFonts w:ascii="Times New Roman" w:hAnsi="Times New Roman" w:eastAsia="宋体"/>
          <w:sz w:val="21"/>
        </w:rPr>
        <w:t>图10 项目级高低风险识别的PR曲线比较</w:t>
      </w:r>
    </w:p>
    <w:p w14:paraId="3FD3AE54">
      <w:pPr>
        <w:spacing w:before="0" w:after="0" w:line="420" w:lineRule="auto"/>
        <w:ind w:firstLine="420"/>
        <w:jc w:val="both"/>
      </w:pPr>
      <w:r>
        <w:rPr>
          <w:rFonts w:ascii="Times New Roman" w:hAnsi="Times New Roman" w:eastAsia="宋体"/>
          <w:sz w:val="24"/>
          <w:szCs w:val="24"/>
        </w:rPr>
        <w:t>需要同时指出的是，不同阈值下的应用权衡见附录图B3成本收益曲线。本文之所以将该图放入附录，而不纳入正文主线，是因为成本收益曲线更偏向应用场景下的阈值选择，而不是本文的主论证任务。也正因为如此，第5.7节虽然引入了ROC和PR两张结果图，但其写作强度仍低于前文的主识别、机制和稳健性部分。</w:t>
      </w:r>
    </w:p>
    <w:p w14:paraId="32149371">
      <w:pPr>
        <w:spacing w:before="0" w:after="0" w:line="420" w:lineRule="auto"/>
        <w:ind w:firstLine="420"/>
        <w:jc w:val="both"/>
      </w:pPr>
      <w:r>
        <w:rPr>
          <w:rFonts w:ascii="Times New Roman" w:hAnsi="Times New Roman" w:eastAsia="宋体"/>
          <w:sz w:val="24"/>
          <w:szCs w:val="24"/>
        </w:rPr>
        <w:t>这里必须坚持两条边界。第一，表9以及图10、图11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w:t>
      </w:r>
    </w:p>
    <w:p w14:paraId="35793112">
      <w:pPr>
        <w:spacing w:before="160" w:after="60" w:line="420" w:lineRule="auto"/>
        <w:jc w:val="left"/>
      </w:pPr>
      <w:r>
        <w:rPr>
          <w:rFonts w:ascii="Times New Roman" w:hAnsi="Times New Roman" w:eastAsia="宋体"/>
          <w:b/>
          <w:sz w:val="28"/>
          <w:szCs w:val="28"/>
        </w:rPr>
        <w:t>6 结论与展望</w:t>
      </w:r>
    </w:p>
    <w:p w14:paraId="1FDCC103">
      <w:pPr>
        <w:spacing w:before="0" w:after="0" w:line="420" w:lineRule="auto"/>
        <w:ind w:firstLine="420"/>
        <w:jc w:val="both"/>
      </w:pPr>
      <w:r>
        <w:rPr>
          <w:rFonts w:ascii="Times New Roman" w:hAnsi="Times New Roman" w:eastAsia="宋体"/>
          <w:sz w:val="24"/>
          <w:szCs w:val="24"/>
        </w:rPr>
        <w: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w:t>
      </w:r>
    </w:p>
    <w:p w14:paraId="064A25FE">
      <w:pPr>
        <w:spacing w:before="0" w:after="0" w:line="420" w:lineRule="auto"/>
        <w:ind w:firstLine="420"/>
        <w:jc w:val="both"/>
      </w:pPr>
      <w:r>
        <w:rPr>
          <w:rFonts w:ascii="Times New Roman" w:hAnsi="Times New Roman" w:eastAsia="宋体"/>
          <w:sz w:val="24"/>
          <w:szCs w:val="24"/>
        </w:rPr>
        <w: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w:t>
      </w:r>
    </w:p>
    <w:p w14:paraId="1BAFC4DA">
      <w:r>
        <w:rPr>
          <w:rFonts w:ascii="Times New Roman" w:hAnsi="Times New Roman" w:eastAsia="宋体"/>
          <w:sz w:val="24"/>
        </w:rPr>
        <w:t>第二，综合治理质量指标存在正向信号，但稳定性不足，不能承担全文主结论。无论在基准结果还是在稳健性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平行趋势成立”的附加证明。 趋势调整型DID和逐省剔除检验进一步说明，推进结构改善这一核心判断在方向上具有较强稳定性，其中采购阶段占比下降的结果更为稳健，执行阶段占比上升的统计强度则更易受到趋势设定和个别地区样本结构影响；更保守的小样本推断以及其他补充识别结果主要承担边界诊断功能，而不构成对主识别的替代。</w:t>
      </w:r>
    </w:p>
    <w:p w14:paraId="06450458">
      <w:pPr>
        <w:spacing w:before="0" w:after="0" w:line="420" w:lineRule="auto"/>
        <w:ind w:firstLine="420"/>
        <w:jc w:val="both"/>
      </w:pPr>
      <w:r>
        <w:rPr>
          <w:rFonts w:ascii="Times New Roman" w:hAnsi="Times New Roman" w:eastAsia="宋体"/>
          <w:sz w:val="24"/>
          <w:szCs w:val="24"/>
        </w:rPr>
        <w: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w:t>
      </w:r>
    </w:p>
    <w:p w14:paraId="7489B298">
      <w:pPr>
        <w:spacing w:before="0" w:after="0" w:line="420" w:lineRule="auto"/>
        <w:ind w:firstLine="420"/>
        <w:jc w:val="both"/>
      </w:pPr>
      <w:r>
        <w:rPr>
          <w:rFonts w:ascii="Times New Roman" w:hAnsi="Times New Roman" w:eastAsia="宋体"/>
          <w:sz w:val="24"/>
          <w:szCs w:val="24"/>
        </w:rP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w:t>
      </w:r>
    </w:p>
    <w:p w14:paraId="2175E32E">
      <w:pPr>
        <w:spacing w:before="0" w:after="0" w:line="420" w:lineRule="auto"/>
        <w:ind w:firstLine="420"/>
        <w:jc w:val="both"/>
      </w:pPr>
      <w:r>
        <w:rPr>
          <w:rFonts w:ascii="Times New Roman" w:hAnsi="Times New Roman" w:eastAsia="宋体"/>
          <w:sz w:val="24"/>
          <w:szCs w:val="24"/>
        </w:rP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w14:paraId="712FA685">
      <w:pPr>
        <w:spacing w:before="0" w:after="0" w:line="420" w:lineRule="auto"/>
        <w:ind w:firstLine="420"/>
        <w:jc w:val="both"/>
      </w:pPr>
      <w:r>
        <w:rPr>
          <w:rFonts w:ascii="Times New Roman" w:hAnsi="Times New Roman" w:eastAsia="宋体"/>
          <w:sz w:val="24"/>
          <w:szCs w:val="24"/>
        </w:rP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严格避免标签泄漏的前提下，引入更丰富的制度语义特征和项目约束信息，提升项目级风险辅助识别的解释力与政策适用性。</w:t>
      </w:r>
    </w:p>
    <w:p w14:paraId="70B9E2B8">
      <w:pPr>
        <w:spacing w:before="160" w:after="60" w:line="420" w:lineRule="auto"/>
        <w:jc w:val="left"/>
      </w:pPr>
      <w:r>
        <w:rPr>
          <w:rFonts w:ascii="Times New Roman" w:hAnsi="Times New Roman" w:eastAsia="宋体"/>
          <w:b/>
          <w:sz w:val="28"/>
          <w:szCs w:val="28"/>
        </w:rPr>
        <w:t>参考文献</w:t>
      </w:r>
    </w:p>
    <w:p w14:paraId="3AD017C0">
      <w:pPr>
        <w:spacing w:before="0" w:after="0" w:line="420" w:lineRule="auto"/>
        <w:ind w:firstLine="420"/>
        <w:jc w:val="both"/>
      </w:pPr>
      <w:r>
        <w:rPr>
          <w:rFonts w:ascii="Times New Roman" w:hAnsi="Times New Roman" w:eastAsia="宋体"/>
          <w:sz w:val="24"/>
          <w:szCs w:val="24"/>
        </w:rPr>
        <w:t>以下参考文献依据当前项目工作目录中的正式文献包和正文实际使用需求整理。作者、年份、期刊、卷期与页码在正式投稿前仍需按目标期刊体例统一核校。</w:t>
      </w:r>
    </w:p>
    <w:p w14:paraId="3B8F875F">
      <w:pPr>
        <w:spacing w:before="0" w:after="0" w:line="420" w:lineRule="auto"/>
        <w:ind w:firstLine="420"/>
        <w:jc w:val="both"/>
      </w:pPr>
      <w:r>
        <w:rPr>
          <w:rFonts w:ascii="Times New Roman" w:hAnsi="Times New Roman" w:eastAsia="宋体"/>
          <w:sz w:val="24"/>
          <w:szCs w:val="24"/>
        </w:rPr>
        <w:t>1. 汪峰. 经济增长目标引领与项目推进：基于中国PPP项目进程的分析[期刊信息待核].</w:t>
      </w:r>
    </w:p>
    <w:p w14:paraId="2700D4A2">
      <w:pPr>
        <w:spacing w:before="0" w:after="0" w:line="420" w:lineRule="auto"/>
        <w:ind w:firstLine="420"/>
        <w:jc w:val="both"/>
      </w:pPr>
      <w:r>
        <w:rPr>
          <w:rFonts w:ascii="Times New Roman" w:hAnsi="Times New Roman" w:eastAsia="宋体"/>
          <w:sz w:val="24"/>
          <w:szCs w:val="24"/>
        </w:rPr>
        <w:t>2. 李晓宇. 人工智能的新测度方法及其应用[期刊信息待核].</w:t>
      </w:r>
    </w:p>
    <w:p w14:paraId="43EAED88">
      <w:pPr>
        <w:spacing w:before="0" w:after="0" w:line="420" w:lineRule="auto"/>
        <w:ind w:firstLine="420"/>
        <w:jc w:val="both"/>
      </w:pPr>
      <w:r>
        <w:rPr>
          <w:rFonts w:ascii="Times New Roman" w:hAnsi="Times New Roman" w:eastAsia="宋体"/>
          <w:sz w:val="24"/>
          <w:szCs w:val="24"/>
        </w:rPr>
        <w:t>3. 周玮. 机器学习与会计舞弊治理：基于非遴选因子的预测视角[期刊信息待核].</w:t>
      </w:r>
    </w:p>
    <w:p w14:paraId="20D22E42">
      <w:pPr>
        <w:spacing w:before="0" w:after="0" w:line="420" w:lineRule="auto"/>
        <w:ind w:firstLine="420"/>
        <w:jc w:val="both"/>
      </w:pPr>
      <w:r>
        <w:rPr>
          <w:rFonts w:ascii="Times New Roman" w:hAnsi="Times New Roman" w:eastAsia="宋体"/>
          <w:sz w:val="24"/>
          <w:szCs w:val="24"/>
        </w:rPr>
        <w:t>4. PPP政策内容分析及其市场影响[期刊信息待核].</w:t>
      </w:r>
    </w:p>
    <w:p w14:paraId="33578262">
      <w:pPr>
        <w:spacing w:before="0" w:after="0" w:line="420" w:lineRule="auto"/>
        <w:ind w:firstLine="420"/>
        <w:jc w:val="both"/>
      </w:pPr>
      <w:r>
        <w:rPr>
          <w:rFonts w:ascii="Times New Roman" w:hAnsi="Times New Roman" w:eastAsia="宋体"/>
          <w:sz w:val="24"/>
          <w:szCs w:val="24"/>
        </w:rPr>
        <w:t>5. 基于深度学习的我国科技政策属性识别[期刊信息待核].</w:t>
      </w:r>
    </w:p>
    <w:p w14:paraId="64DCA31D">
      <w:pPr>
        <w:spacing w:before="0" w:after="0" w:line="420" w:lineRule="auto"/>
        <w:ind w:firstLine="420"/>
        <w:jc w:val="both"/>
      </w:pPr>
      <w:r>
        <w:rPr>
          <w:rFonts w:ascii="Times New Roman" w:hAnsi="Times New Roman" w:eastAsia="宋体"/>
          <w:sz w:val="24"/>
          <w:szCs w:val="24"/>
        </w:rPr>
        <w:t>6. 政策取向一致性与企业高质量绿色转型[期刊信息待核].</w:t>
      </w:r>
    </w:p>
    <w:p w14:paraId="7DD5A20F">
      <w:pPr>
        <w:spacing w:before="0" w:after="0" w:line="420" w:lineRule="auto"/>
        <w:ind w:firstLine="420"/>
        <w:jc w:val="both"/>
      </w:pPr>
      <w:r>
        <w:rPr>
          <w:rFonts w:ascii="Times New Roman" w:hAnsi="Times New Roman" w:eastAsia="宋体"/>
          <w:sz w:val="24"/>
          <w:szCs w:val="24"/>
        </w:rPr>
        <w:t>7. 地方政府视域下的文本分析研究[期刊信息待核].</w:t>
      </w:r>
    </w:p>
    <w:p w14:paraId="13672D30">
      <w:pPr>
        <w:spacing w:before="0" w:after="0" w:line="420" w:lineRule="auto"/>
        <w:ind w:firstLine="420"/>
        <w:jc w:val="both"/>
      </w:pPr>
      <w:r>
        <w:rPr>
          <w:rFonts w:ascii="Times New Roman" w:hAnsi="Times New Roman" w:eastAsia="宋体"/>
          <w:sz w:val="24"/>
          <w:szCs w:val="24"/>
        </w:rPr>
        <w:t>8. 变与稳：危机事件触发政策系统的差异化调适[期刊信息待核].</w:t>
      </w:r>
    </w:p>
    <w:p w14:paraId="291DE98B">
      <w:pPr>
        <w:spacing w:before="0" w:after="0" w:line="420" w:lineRule="auto"/>
        <w:ind w:firstLine="420"/>
        <w:jc w:val="both"/>
      </w:pPr>
      <w:r>
        <w:rPr>
          <w:rFonts w:ascii="Times New Roman" w:hAnsi="Times New Roman" w:eastAsia="宋体"/>
          <w:sz w:val="24"/>
          <w:szCs w:val="24"/>
        </w:rPr>
        <w:t>9. 大数据综合试验区提升企业数据资产化的机制[期刊信息待核].</w:t>
      </w:r>
    </w:p>
    <w:p w14:paraId="759EF7BB">
      <w:pPr>
        <w:spacing w:before="0" w:after="0" w:line="420" w:lineRule="auto"/>
        <w:ind w:firstLine="420"/>
        <w:jc w:val="both"/>
      </w:pPr>
      <w:r>
        <w:rPr>
          <w:rFonts w:ascii="Times New Roman" w:hAnsi="Times New Roman" w:eastAsia="宋体"/>
          <w:sz w:val="24"/>
          <w:szCs w:val="24"/>
        </w:rPr>
        <w:t>10. 数字风险治理：研究脉络、理论框架及未来展望[期刊信息待核].</w:t>
      </w:r>
    </w:p>
    <w:p w14:paraId="3CEA9451">
      <w:pPr>
        <w:spacing w:before="0" w:after="0" w:line="420" w:lineRule="auto"/>
        <w:ind w:firstLine="420"/>
        <w:jc w:val="both"/>
      </w:pPr>
      <w:r>
        <w:rPr>
          <w:rFonts w:ascii="Times New Roman" w:hAnsi="Times New Roman" w:eastAsia="宋体"/>
          <w:sz w:val="24"/>
          <w:szCs w:val="24"/>
        </w:rPr>
        <w:t>11. 基于BERTopic的计算机视觉领域热点技术主题及演化分析[期刊信息待核].</w:t>
      </w:r>
    </w:p>
    <w:p w14:paraId="08FB622C">
      <w:pPr>
        <w:spacing w:before="0" w:after="0" w:line="420" w:lineRule="auto"/>
        <w:ind w:firstLine="420"/>
        <w:jc w:val="both"/>
      </w:pPr>
      <w:r>
        <w:rPr>
          <w:rFonts w:ascii="Times New Roman" w:hAnsi="Times New Roman" w:eastAsia="宋体"/>
          <w:sz w:val="24"/>
          <w:szCs w:val="24"/>
        </w:rPr>
        <w:t>12. 政策信息学视角下政策文本量化方法研究进展[期刊信息待核].</w:t>
      </w:r>
    </w:p>
    <w:p w14:paraId="43020247">
      <w:pPr>
        <w:spacing w:before="0" w:after="0" w:line="420" w:lineRule="auto"/>
        <w:ind w:firstLine="420"/>
        <w:jc w:val="both"/>
      </w:pPr>
      <w:r>
        <w:rPr>
          <w:rFonts w:ascii="Times New Roman" w:hAnsi="Times New Roman" w:eastAsia="宋体"/>
          <w:sz w:val="24"/>
          <w:szCs w:val="24"/>
        </w:rPr>
        <w:t>13. 注册制改革、信息披露与投资者行为：基于创业板定向增发的证据[期刊信息待核].</w:t>
      </w:r>
    </w:p>
    <w:p w14:paraId="3740E6C9">
      <w:pPr>
        <w:spacing w:before="0" w:after="0" w:line="420" w:lineRule="auto"/>
        <w:ind w:firstLine="420"/>
        <w:jc w:val="both"/>
      </w:pPr>
      <w:r>
        <w:rPr>
          <w:rFonts w:ascii="Times New Roman" w:hAnsi="Times New Roman" w:eastAsia="宋体"/>
          <w:sz w:val="24"/>
          <w:szCs w:val="24"/>
        </w:rPr>
        <w:t>14. 基于大语言模型的多阶段网络舆情驱动群体共识决策方法研究[期刊信息待核].</w:t>
      </w:r>
    </w:p>
    <w:p w14:paraId="1DF49E92">
      <w:pPr>
        <w:spacing w:before="0" w:after="0" w:line="420" w:lineRule="auto"/>
        <w:ind w:firstLine="420"/>
        <w:jc w:val="both"/>
      </w:pPr>
      <w:r>
        <w:rPr>
          <w:rFonts w:ascii="Times New Roman" w:hAnsi="Times New Roman" w:eastAsia="宋体"/>
          <w:sz w:val="24"/>
          <w:szCs w:val="24"/>
        </w:rPr>
        <w:t>15. Saito, T., &amp; Rehmsmeier, M. The precision-recall plot is more informative than the ROC plot when evaluating binary classifiers on imbalanced datasets[J]. *PLOS ONE*, 2015, 10(3): e0118432.</w:t>
      </w:r>
    </w:p>
    <w:p w14:paraId="5BE2A772">
      <w:pPr>
        <w:spacing w:before="0" w:after="0" w:line="420" w:lineRule="auto"/>
        <w:ind w:firstLine="420"/>
        <w:jc w:val="both"/>
      </w:pPr>
      <w:r>
        <w:rPr>
          <w:rFonts w:ascii="Times New Roman" w:hAnsi="Times New Roman" w:eastAsia="宋体"/>
          <w:sz w:val="24"/>
          <w:szCs w:val="24"/>
        </w:rPr>
        <w:t>16. Sun, L., &amp; Abraham, S. Estimating dynamic treatment effects in event studies with heterogeneous treatment effects[J]. *Journal of Econometrics*, 2021, 225(2): 175-199.</w:t>
      </w:r>
    </w:p>
    <w:p w14:paraId="40A80004">
      <w:pPr>
        <w:spacing w:before="160" w:after="60" w:line="420" w:lineRule="auto"/>
        <w:jc w:val="left"/>
      </w:pPr>
      <w:r>
        <w:rPr>
          <w:rFonts w:ascii="Times New Roman" w:hAnsi="Times New Roman" w:eastAsia="宋体"/>
          <w:b/>
          <w:sz w:val="28"/>
          <w:szCs w:val="28"/>
        </w:rPr>
        <w:t>附录A 文本分析诊断与样本补充</w:t>
      </w:r>
    </w:p>
    <w:p w14:paraId="2518E55B">
      <w:pPr>
        <w:spacing w:before="100" w:after="40" w:line="420" w:lineRule="auto"/>
        <w:jc w:val="left"/>
      </w:pPr>
      <w:r>
        <w:rPr>
          <w:rFonts w:ascii="Times New Roman" w:hAnsi="Times New Roman" w:eastAsia="宋体"/>
          <w:b/>
          <w:sz w:val="25"/>
          <w:szCs w:val="25"/>
        </w:rPr>
        <w:t>A1 主题相似性矩阵</w:t>
      </w:r>
    </w:p>
    <w:p w14:paraId="26CD5BC7">
      <w:pPr>
        <w:spacing w:before="0" w:after="0" w:line="420" w:lineRule="auto"/>
        <w:ind w:firstLine="420"/>
        <w:jc w:val="both"/>
      </w:pPr>
      <w:r>
        <w:rPr>
          <w:rFonts w:ascii="Times New Roman" w:hAnsi="Times New Roman" w:eastAsia="宋体"/>
          <w:sz w:val="24"/>
          <w:szCs w:val="24"/>
        </w:rPr>
        <w: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w:t>
      </w:r>
    </w:p>
    <w:p w14:paraId="789F5628">
      <w:pPr>
        <w:spacing w:before="100" w:after="40" w:line="420" w:lineRule="auto"/>
        <w:jc w:val="left"/>
      </w:pPr>
      <w:r>
        <w:rPr>
          <w:rFonts w:ascii="Times New Roman" w:hAnsi="Times New Roman" w:eastAsia="宋体"/>
          <w:b/>
          <w:sz w:val="25"/>
          <w:szCs w:val="25"/>
        </w:rPr>
        <w:t>A2 附录表</w:t>
      </w:r>
    </w:p>
    <w:p w14:paraId="6C5E59EE">
      <w:pPr>
        <w:spacing w:before="0" w:after="40" w:line="420" w:lineRule="auto"/>
        <w:jc w:val="center"/>
      </w:pPr>
      <w:r>
        <w:rPr>
          <w:rFonts w:ascii="Times New Roman" w:hAnsi="Times New Roman" w:eastAsia="宋体"/>
          <w:sz w:val="21"/>
          <w:szCs w:val="21"/>
        </w:rPr>
        <w:t>附表A 样本层级与窗口说明</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700"/>
        <w:gridCol w:w="1350"/>
        <w:gridCol w:w="4950"/>
      </w:tblGrid>
      <w:tr w14:paraId="1248D0F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EDEDED"/>
            <w:vAlign w:val="center"/>
          </w:tcPr>
          <w:p w14:paraId="35B575C1">
            <w:pPr>
              <w:spacing w:before="0" w:after="0" w:line="420" w:lineRule="auto"/>
              <w:jc w:val="center"/>
            </w:pPr>
            <w:r>
              <w:rPr>
                <w:rFonts w:ascii="Times New Roman" w:hAnsi="Times New Roman" w:eastAsia="宋体"/>
                <w:b/>
                <w:sz w:val="20"/>
                <w:szCs w:val="20"/>
              </w:rPr>
              <w:t>层级/窗口</w:t>
            </w:r>
          </w:p>
        </w:tc>
        <w:tc>
          <w:tcPr>
            <w:tcW w:w="1350" w:type="dxa"/>
            <w:shd w:val="clear" w:color="auto" w:fill="EDEDED"/>
            <w:vAlign w:val="center"/>
          </w:tcPr>
          <w:p w14:paraId="550B1FC6">
            <w:pPr>
              <w:spacing w:before="0" w:after="0" w:line="420" w:lineRule="auto"/>
              <w:jc w:val="center"/>
            </w:pPr>
            <w:r>
              <w:rPr>
                <w:rFonts w:ascii="Times New Roman" w:hAnsi="Times New Roman" w:eastAsia="宋体"/>
                <w:b/>
                <w:sz w:val="20"/>
                <w:szCs w:val="20"/>
              </w:rPr>
              <w:t>数量</w:t>
            </w:r>
          </w:p>
        </w:tc>
        <w:tc>
          <w:tcPr>
            <w:tcW w:w="4950" w:type="dxa"/>
            <w:shd w:val="clear" w:color="auto" w:fill="EDEDED"/>
            <w:vAlign w:val="center"/>
          </w:tcPr>
          <w:p w14:paraId="67617FF3">
            <w:pPr>
              <w:spacing w:before="0" w:after="0" w:line="420" w:lineRule="auto"/>
              <w:jc w:val="center"/>
            </w:pPr>
            <w:r>
              <w:rPr>
                <w:rFonts w:ascii="Times New Roman" w:hAnsi="Times New Roman" w:eastAsia="宋体"/>
                <w:b/>
                <w:sz w:val="20"/>
                <w:szCs w:val="20"/>
              </w:rPr>
              <w:t>说明</w:t>
            </w:r>
          </w:p>
        </w:tc>
      </w:tr>
      <w:tr w14:paraId="706714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0568D94C">
            <w:pPr>
              <w:spacing w:before="0" w:after="0" w:line="420" w:lineRule="auto"/>
              <w:jc w:val="left"/>
            </w:pPr>
            <w:r>
              <w:rPr>
                <w:rFonts w:ascii="Times New Roman" w:hAnsi="Times New Roman" w:eastAsia="宋体"/>
                <w:sz w:val="20"/>
                <w:szCs w:val="20"/>
              </w:rPr>
              <w:t>全量政策文本池</w:t>
            </w:r>
          </w:p>
        </w:tc>
        <w:tc>
          <w:tcPr>
            <w:tcW w:w="1350" w:type="dxa"/>
            <w:shd w:val="clear" w:color="auto" w:fill="FFFFFF"/>
            <w:vAlign w:val="center"/>
          </w:tcPr>
          <w:p w14:paraId="546EA975">
            <w:pPr>
              <w:spacing w:before="0" w:after="0" w:line="420" w:lineRule="auto"/>
              <w:jc w:val="left"/>
            </w:pPr>
            <w:r>
              <w:rPr>
                <w:rFonts w:ascii="Times New Roman" w:hAnsi="Times New Roman" w:eastAsia="宋体"/>
                <w:sz w:val="20"/>
                <w:szCs w:val="20"/>
              </w:rPr>
              <w:t>165</w:t>
            </w:r>
          </w:p>
        </w:tc>
        <w:tc>
          <w:tcPr>
            <w:tcW w:w="4950" w:type="dxa"/>
            <w:shd w:val="clear" w:color="auto" w:fill="FFFFFF"/>
            <w:vAlign w:val="center"/>
          </w:tcPr>
          <w:p w14:paraId="029A4A1F">
            <w:pPr>
              <w:spacing w:before="0" w:after="0" w:line="420" w:lineRule="auto"/>
              <w:jc w:val="left"/>
            </w:pPr>
            <w:r>
              <w:rPr>
                <w:rFonts w:ascii="Times New Roman" w:hAnsi="Times New Roman" w:eastAsia="宋体"/>
                <w:sz w:val="20"/>
                <w:szCs w:val="20"/>
              </w:rPr>
              <w:t>扩展与审计窗口</w:t>
            </w:r>
          </w:p>
        </w:tc>
      </w:tr>
      <w:tr w14:paraId="090D28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0DC91577">
            <w:pPr>
              <w:spacing w:before="0" w:after="0" w:line="420" w:lineRule="auto"/>
              <w:jc w:val="left"/>
            </w:pPr>
            <w:r>
              <w:rPr>
                <w:rFonts w:ascii="Times New Roman" w:hAnsi="Times New Roman" w:eastAsia="宋体"/>
                <w:sz w:val="20"/>
                <w:szCs w:val="20"/>
              </w:rPr>
              <w:t>正式DID文档样本</w:t>
            </w:r>
          </w:p>
        </w:tc>
        <w:tc>
          <w:tcPr>
            <w:tcW w:w="1350" w:type="dxa"/>
            <w:shd w:val="clear" w:color="auto" w:fill="FFFFFF"/>
            <w:vAlign w:val="center"/>
          </w:tcPr>
          <w:p w14:paraId="38FD8346">
            <w:pPr>
              <w:spacing w:before="0" w:after="0" w:line="420" w:lineRule="auto"/>
              <w:jc w:val="left"/>
            </w:pPr>
            <w:r>
              <w:rPr>
                <w:rFonts w:ascii="Times New Roman" w:hAnsi="Times New Roman" w:eastAsia="宋体"/>
                <w:sz w:val="20"/>
                <w:szCs w:val="20"/>
              </w:rPr>
              <w:t>1307</w:t>
            </w:r>
          </w:p>
        </w:tc>
        <w:tc>
          <w:tcPr>
            <w:tcW w:w="4950" w:type="dxa"/>
            <w:shd w:val="clear" w:color="auto" w:fill="FFFFFF"/>
            <w:vAlign w:val="center"/>
          </w:tcPr>
          <w:p w14:paraId="08B66C7D">
            <w:pPr>
              <w:spacing w:before="0" w:after="0" w:line="420" w:lineRule="auto"/>
              <w:jc w:val="left"/>
            </w:pPr>
            <w:r>
              <w:rPr>
                <w:rFonts w:ascii="Times New Roman" w:hAnsi="Times New Roman" w:eastAsia="宋体"/>
                <w:sz w:val="20"/>
                <w:szCs w:val="20"/>
              </w:rPr>
              <w:t>主识别窗口 2014—2022</w:t>
            </w:r>
          </w:p>
        </w:tc>
      </w:tr>
      <w:tr w14:paraId="0A10567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4770DF55">
            <w:pPr>
              <w:spacing w:before="0" w:after="0" w:line="420" w:lineRule="auto"/>
              <w:jc w:val="left"/>
            </w:pPr>
            <w:r>
              <w:rPr>
                <w:rFonts w:ascii="Times New Roman" w:hAnsi="Times New Roman" w:eastAsia="宋体"/>
                <w:sz w:val="20"/>
                <w:szCs w:val="20"/>
              </w:rPr>
              <w:t>省—年平衡文本单元</w:t>
            </w:r>
          </w:p>
        </w:tc>
        <w:tc>
          <w:tcPr>
            <w:tcW w:w="1350" w:type="dxa"/>
            <w:shd w:val="clear" w:color="auto" w:fill="FFFFFF"/>
            <w:vAlign w:val="center"/>
          </w:tcPr>
          <w:p w14:paraId="06C9F355">
            <w:pPr>
              <w:spacing w:before="0" w:after="0" w:line="420" w:lineRule="auto"/>
              <w:jc w:val="left"/>
            </w:pPr>
            <w:r>
              <w:rPr>
                <w:rFonts w:ascii="Times New Roman" w:hAnsi="Times New Roman" w:eastAsia="宋体"/>
                <w:sz w:val="20"/>
                <w:szCs w:val="20"/>
              </w:rPr>
              <w:t>288</w:t>
            </w:r>
          </w:p>
        </w:tc>
        <w:tc>
          <w:tcPr>
            <w:tcW w:w="4950" w:type="dxa"/>
            <w:shd w:val="clear" w:color="auto" w:fill="FFFFFF"/>
            <w:vAlign w:val="center"/>
          </w:tcPr>
          <w:p w14:paraId="5073AD5B">
            <w:pPr>
              <w:spacing w:before="0" w:after="0" w:line="420" w:lineRule="auto"/>
              <w:jc w:val="left"/>
            </w:pPr>
            <w:r>
              <w:rPr>
                <w:rFonts w:ascii="Times New Roman" w:hAnsi="Times New Roman" w:eastAsia="宋体"/>
                <w:sz w:val="20"/>
                <w:szCs w:val="20"/>
              </w:rPr>
              <w:t>方案2 平衡口径</w:t>
            </w:r>
          </w:p>
        </w:tc>
      </w:tr>
      <w:tr w14:paraId="17B7FC6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5F2C8124">
            <w:pPr>
              <w:spacing w:before="0" w:after="0" w:line="420" w:lineRule="auto"/>
              <w:jc w:val="left"/>
            </w:pPr>
            <w:r>
              <w:rPr>
                <w:rFonts w:ascii="Times New Roman" w:hAnsi="Times New Roman" w:eastAsia="宋体"/>
                <w:sz w:val="20"/>
                <w:szCs w:val="20"/>
              </w:rPr>
              <w:t>V3主面板观测</w:t>
            </w:r>
          </w:p>
        </w:tc>
        <w:tc>
          <w:tcPr>
            <w:tcW w:w="1350" w:type="dxa"/>
            <w:shd w:val="clear" w:color="auto" w:fill="FFFFFF"/>
            <w:vAlign w:val="center"/>
          </w:tcPr>
          <w:p w14:paraId="07579DDC">
            <w:pPr>
              <w:spacing w:before="0" w:after="0" w:line="420" w:lineRule="auto"/>
              <w:jc w:val="left"/>
            </w:pPr>
            <w:r>
              <w:rPr>
                <w:rFonts w:ascii="Times New Roman" w:hAnsi="Times New Roman" w:eastAsia="宋体"/>
                <w:sz w:val="20"/>
                <w:szCs w:val="20"/>
              </w:rPr>
              <w:t>266</w:t>
            </w:r>
          </w:p>
        </w:tc>
        <w:tc>
          <w:tcPr>
            <w:tcW w:w="4950" w:type="dxa"/>
            <w:shd w:val="clear" w:color="auto" w:fill="FFFFFF"/>
            <w:vAlign w:val="center"/>
          </w:tcPr>
          <w:p w14:paraId="264ABFA2">
            <w:pPr>
              <w:spacing w:before="0" w:after="0" w:line="420" w:lineRule="auto"/>
              <w:jc w:val="left"/>
            </w:pPr>
            <w:r>
              <w:rPr>
                <w:rFonts w:ascii="Times New Roman" w:hAnsi="Times New Roman" w:eastAsia="宋体"/>
                <w:sz w:val="20"/>
                <w:szCs w:val="20"/>
              </w:rPr>
              <w:t>覆盖地区单元=32</w:t>
            </w:r>
          </w:p>
        </w:tc>
      </w:tr>
      <w:tr w14:paraId="391176CC">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1B6170E9">
            <w:pPr>
              <w:spacing w:before="0" w:after="0" w:line="420" w:lineRule="auto"/>
              <w:jc w:val="left"/>
            </w:pPr>
            <w:r>
              <w:rPr>
                <w:rFonts w:ascii="Times New Roman" w:hAnsi="Times New Roman" w:eastAsia="宋体"/>
                <w:sz w:val="20"/>
                <w:szCs w:val="20"/>
              </w:rPr>
              <w:t>正式基准回归样本</w:t>
            </w:r>
          </w:p>
        </w:tc>
        <w:tc>
          <w:tcPr>
            <w:tcW w:w="1350" w:type="dxa"/>
            <w:shd w:val="clear" w:color="auto" w:fill="FFFFFF"/>
            <w:vAlign w:val="center"/>
          </w:tcPr>
          <w:p w14:paraId="3E24DE7B">
            <w:pPr>
              <w:spacing w:before="0" w:after="0" w:line="420" w:lineRule="auto"/>
              <w:jc w:val="left"/>
            </w:pPr>
            <w:r>
              <w:rPr>
                <w:rFonts w:ascii="Times New Roman" w:hAnsi="Times New Roman" w:eastAsia="宋体"/>
                <w:sz w:val="20"/>
                <w:szCs w:val="20"/>
              </w:rPr>
              <w:t>262</w:t>
            </w:r>
          </w:p>
        </w:tc>
        <w:tc>
          <w:tcPr>
            <w:tcW w:w="4950" w:type="dxa"/>
            <w:shd w:val="clear" w:color="auto" w:fill="FFFFFF"/>
            <w:vAlign w:val="center"/>
          </w:tcPr>
          <w:p w14:paraId="52ABE5C1">
            <w:pPr>
              <w:spacing w:before="0" w:after="0" w:line="420" w:lineRule="auto"/>
              <w:jc w:val="left"/>
            </w:pPr>
            <w:r>
              <w:rPr>
                <w:rFonts w:ascii="Times New Roman" w:hAnsi="Times New Roman" w:eastAsia="宋体"/>
                <w:sz w:val="20"/>
                <w:szCs w:val="20"/>
              </w:rPr>
              <w:t>表4对应样本</w:t>
            </w:r>
          </w:p>
        </w:tc>
      </w:tr>
      <w:tr w14:paraId="11BF600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555A4DF7">
            <w:pPr>
              <w:spacing w:before="0" w:after="0" w:line="420" w:lineRule="auto"/>
              <w:jc w:val="left"/>
            </w:pPr>
            <w:r>
              <w:rPr>
                <w:rFonts w:ascii="Times New Roman" w:hAnsi="Times New Roman" w:eastAsia="宋体"/>
                <w:sz w:val="20"/>
                <w:szCs w:val="20"/>
              </w:rPr>
              <w:t>首次处理年2016</w:t>
            </w:r>
          </w:p>
        </w:tc>
        <w:tc>
          <w:tcPr>
            <w:tcW w:w="1350" w:type="dxa"/>
            <w:shd w:val="clear" w:color="auto" w:fill="FFFFFF"/>
            <w:vAlign w:val="center"/>
          </w:tcPr>
          <w:p w14:paraId="33660590">
            <w:pPr>
              <w:spacing w:before="0" w:after="0" w:line="420" w:lineRule="auto"/>
              <w:jc w:val="left"/>
            </w:pPr>
            <w:r>
              <w:rPr>
                <w:rFonts w:ascii="Times New Roman" w:hAnsi="Times New Roman" w:eastAsia="宋体"/>
                <w:sz w:val="20"/>
                <w:szCs w:val="20"/>
              </w:rPr>
              <w:t>28</w:t>
            </w:r>
          </w:p>
        </w:tc>
        <w:tc>
          <w:tcPr>
            <w:tcW w:w="4950" w:type="dxa"/>
            <w:shd w:val="clear" w:color="auto" w:fill="FFFFFF"/>
            <w:vAlign w:val="center"/>
          </w:tcPr>
          <w:p w14:paraId="32FD2723">
            <w:pPr>
              <w:spacing w:before="0" w:after="0" w:line="420" w:lineRule="auto"/>
              <w:jc w:val="left"/>
            </w:pPr>
            <w:r>
              <w:rPr>
                <w:rFonts w:ascii="Times New Roman" w:hAnsi="Times New Roman" w:eastAsia="宋体"/>
                <w:sz w:val="20"/>
                <w:szCs w:val="20"/>
              </w:rPr>
              <w:t>多期DID主要处理批次</w:t>
            </w:r>
          </w:p>
        </w:tc>
      </w:tr>
      <w:tr w14:paraId="3B8CA4FA">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7906F97C">
            <w:pPr>
              <w:spacing w:before="0" w:after="0" w:line="420" w:lineRule="auto"/>
              <w:jc w:val="left"/>
            </w:pPr>
            <w:r>
              <w:rPr>
                <w:rFonts w:ascii="Times New Roman" w:hAnsi="Times New Roman" w:eastAsia="宋体"/>
                <w:sz w:val="20"/>
                <w:szCs w:val="20"/>
              </w:rPr>
              <w:t>首次处理年2017</w:t>
            </w:r>
          </w:p>
        </w:tc>
        <w:tc>
          <w:tcPr>
            <w:tcW w:w="1350" w:type="dxa"/>
            <w:shd w:val="clear" w:color="auto" w:fill="FFFFFF"/>
            <w:vAlign w:val="center"/>
          </w:tcPr>
          <w:p w14:paraId="31C5839D">
            <w:pPr>
              <w:spacing w:before="0" w:after="0" w:line="420" w:lineRule="auto"/>
              <w:jc w:val="left"/>
            </w:pPr>
            <w:r>
              <w:rPr>
                <w:rFonts w:ascii="Times New Roman" w:hAnsi="Times New Roman" w:eastAsia="宋体"/>
                <w:sz w:val="20"/>
                <w:szCs w:val="20"/>
              </w:rPr>
              <w:t>1</w:t>
            </w:r>
          </w:p>
        </w:tc>
        <w:tc>
          <w:tcPr>
            <w:tcW w:w="4950" w:type="dxa"/>
            <w:shd w:val="clear" w:color="auto" w:fill="FFFFFF"/>
            <w:vAlign w:val="center"/>
          </w:tcPr>
          <w:p w14:paraId="0A9D5B2E">
            <w:pPr>
              <w:spacing w:before="0" w:after="0" w:line="420" w:lineRule="auto"/>
              <w:jc w:val="left"/>
            </w:pPr>
            <w:r>
              <w:rPr>
                <w:rFonts w:ascii="Times New Roman" w:hAnsi="Times New Roman" w:eastAsia="宋体"/>
                <w:sz w:val="20"/>
                <w:szCs w:val="20"/>
              </w:rPr>
              <w:t>少量后续处理</w:t>
            </w:r>
          </w:p>
        </w:tc>
      </w:tr>
    </w:tbl>
    <w:p w14:paraId="16AB49A3">
      <w:pPr>
        <w:spacing w:before="0" w:after="40" w:line="420" w:lineRule="auto"/>
        <w:jc w:val="center"/>
      </w:pPr>
      <w:r>
        <w:rPr>
          <w:rFonts w:ascii="Times New Roman" w:hAnsi="Times New Roman" w:eastAsia="宋体"/>
          <w:sz w:val="21"/>
          <w:szCs w:val="21"/>
        </w:rPr>
        <w:t>附表B 主题维度覆盖率</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600"/>
        <w:gridCol w:w="1500"/>
        <w:gridCol w:w="1500"/>
        <w:gridCol w:w="1500"/>
        <w:gridCol w:w="2900"/>
      </w:tblGrid>
      <w:tr w14:paraId="1782B6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EDEDED"/>
            <w:vAlign w:val="center"/>
          </w:tcPr>
          <w:p w14:paraId="107094CD">
            <w:pPr>
              <w:spacing w:before="0" w:after="0" w:line="420" w:lineRule="auto"/>
              <w:jc w:val="center"/>
            </w:pPr>
            <w:r>
              <w:rPr>
                <w:rFonts w:ascii="Times New Roman" w:hAnsi="Times New Roman" w:eastAsia="宋体"/>
                <w:b/>
                <w:sz w:val="20"/>
                <w:szCs w:val="20"/>
              </w:rPr>
              <w:t>维度</w:t>
            </w:r>
          </w:p>
        </w:tc>
        <w:tc>
          <w:tcPr>
            <w:tcW w:w="1500" w:type="dxa"/>
            <w:shd w:val="clear" w:color="auto" w:fill="EDEDED"/>
            <w:vAlign w:val="center"/>
          </w:tcPr>
          <w:p w14:paraId="0744770C">
            <w:pPr>
              <w:spacing w:before="0" w:after="0" w:line="420" w:lineRule="auto"/>
              <w:jc w:val="center"/>
            </w:pPr>
            <w:r>
              <w:rPr>
                <w:rFonts w:ascii="Times New Roman" w:hAnsi="Times New Roman" w:eastAsia="宋体"/>
                <w:b/>
                <w:sz w:val="20"/>
                <w:szCs w:val="20"/>
              </w:rPr>
              <w:t>文档覆盖率</w:t>
            </w:r>
          </w:p>
        </w:tc>
        <w:tc>
          <w:tcPr>
            <w:tcW w:w="1500" w:type="dxa"/>
            <w:shd w:val="clear" w:color="auto" w:fill="EDEDED"/>
            <w:vAlign w:val="center"/>
          </w:tcPr>
          <w:p w14:paraId="69F3C0AD">
            <w:pPr>
              <w:spacing w:before="0" w:after="0" w:line="420" w:lineRule="auto"/>
              <w:jc w:val="center"/>
            </w:pPr>
            <w:r>
              <w:rPr>
                <w:rFonts w:ascii="Times New Roman" w:hAnsi="Times New Roman" w:eastAsia="宋体"/>
                <w:b/>
                <w:sz w:val="20"/>
                <w:szCs w:val="20"/>
              </w:rPr>
              <w:t>平均share</w:t>
            </w:r>
          </w:p>
        </w:tc>
        <w:tc>
          <w:tcPr>
            <w:tcW w:w="1500" w:type="dxa"/>
            <w:shd w:val="clear" w:color="auto" w:fill="EDEDED"/>
            <w:vAlign w:val="center"/>
          </w:tcPr>
          <w:p w14:paraId="7EEFA4F0">
            <w:pPr>
              <w:spacing w:before="0" w:after="0" w:line="420" w:lineRule="auto"/>
              <w:jc w:val="center"/>
            </w:pPr>
            <w:r>
              <w:rPr>
                <w:rFonts w:ascii="Times New Roman" w:hAnsi="Times New Roman" w:eastAsia="宋体"/>
                <w:b/>
                <w:sz w:val="20"/>
                <w:szCs w:val="20"/>
              </w:rPr>
              <w:t>平均idx</w:t>
            </w:r>
          </w:p>
        </w:tc>
        <w:tc>
          <w:tcPr>
            <w:tcW w:w="2900" w:type="dxa"/>
            <w:shd w:val="clear" w:color="auto" w:fill="EDEDED"/>
            <w:vAlign w:val="center"/>
          </w:tcPr>
          <w:p w14:paraId="509CB3A1">
            <w:pPr>
              <w:spacing w:before="0" w:after="0" w:line="420" w:lineRule="auto"/>
              <w:jc w:val="center"/>
            </w:pPr>
            <w:r>
              <w:rPr>
                <w:rFonts w:ascii="Times New Roman" w:hAnsi="Times New Roman" w:eastAsia="宋体"/>
                <w:b/>
                <w:sz w:val="20"/>
                <w:szCs w:val="20"/>
              </w:rPr>
              <w:t>说明</w:t>
            </w:r>
          </w:p>
        </w:tc>
      </w:tr>
      <w:tr w14:paraId="3DD5B7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1759900F">
            <w:pPr>
              <w:spacing w:before="0" w:after="0" w:line="420" w:lineRule="auto"/>
              <w:jc w:val="left"/>
            </w:pPr>
            <w:r>
              <w:rPr>
                <w:rFonts w:ascii="Times New Roman" w:hAnsi="Times New Roman" w:eastAsia="宋体"/>
                <w:sz w:val="20"/>
                <w:szCs w:val="20"/>
              </w:rPr>
              <w:t>A维度</w:t>
            </w:r>
          </w:p>
        </w:tc>
        <w:tc>
          <w:tcPr>
            <w:tcW w:w="1500" w:type="dxa"/>
            <w:shd w:val="clear" w:color="auto" w:fill="FFFFFF"/>
            <w:vAlign w:val="center"/>
          </w:tcPr>
          <w:p w14:paraId="6F947C11">
            <w:pPr>
              <w:spacing w:before="0" w:after="0" w:line="420" w:lineRule="auto"/>
              <w:jc w:val="left"/>
            </w:pPr>
            <w:r>
              <w:rPr>
                <w:rFonts w:ascii="Times New Roman" w:hAnsi="Times New Roman" w:eastAsia="宋体"/>
                <w:sz w:val="20"/>
                <w:szCs w:val="20"/>
              </w:rPr>
              <w:t>0.7506</w:t>
            </w:r>
          </w:p>
        </w:tc>
        <w:tc>
          <w:tcPr>
            <w:tcW w:w="1500" w:type="dxa"/>
            <w:shd w:val="clear" w:color="auto" w:fill="FFFFFF"/>
            <w:vAlign w:val="center"/>
          </w:tcPr>
          <w:p w14:paraId="1D882887">
            <w:pPr>
              <w:spacing w:before="0" w:after="0" w:line="420" w:lineRule="auto"/>
              <w:jc w:val="left"/>
            </w:pPr>
            <w:r>
              <w:rPr>
                <w:rFonts w:ascii="Times New Roman" w:hAnsi="Times New Roman" w:eastAsia="宋体"/>
                <w:sz w:val="20"/>
                <w:szCs w:val="20"/>
              </w:rPr>
              <w:t>0.0788</w:t>
            </w:r>
          </w:p>
        </w:tc>
        <w:tc>
          <w:tcPr>
            <w:tcW w:w="1500" w:type="dxa"/>
            <w:shd w:val="clear" w:color="auto" w:fill="FFFFFF"/>
            <w:vAlign w:val="center"/>
          </w:tcPr>
          <w:p w14:paraId="0879E251">
            <w:pPr>
              <w:spacing w:before="0" w:after="0" w:line="420" w:lineRule="auto"/>
              <w:jc w:val="left"/>
            </w:pPr>
            <w:r>
              <w:rPr>
                <w:rFonts w:ascii="Times New Roman" w:hAnsi="Times New Roman" w:eastAsia="宋体"/>
                <w:sz w:val="20"/>
                <w:szCs w:val="20"/>
              </w:rPr>
              <w:t>29.7637</w:t>
            </w:r>
          </w:p>
        </w:tc>
        <w:tc>
          <w:tcPr>
            <w:tcW w:w="2900" w:type="dxa"/>
            <w:shd w:val="clear" w:color="auto" w:fill="FFFFFF"/>
            <w:vAlign w:val="center"/>
          </w:tcPr>
          <w:p w14:paraId="14538BDE">
            <w:pPr>
              <w:spacing w:before="0" w:after="0" w:line="420" w:lineRule="auto"/>
              <w:jc w:val="left"/>
            </w:pPr>
            <w:r>
              <w:rPr>
                <w:rFonts w:ascii="Times New Roman" w:hAnsi="Times New Roman" w:eastAsia="宋体"/>
                <w:sz w:val="20"/>
                <w:szCs w:val="20"/>
              </w:rPr>
              <w:t>文档级代码本覆盖率诊断</w:t>
            </w:r>
          </w:p>
        </w:tc>
      </w:tr>
      <w:tr w14:paraId="17A7C34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3D8C5DCF">
            <w:pPr>
              <w:spacing w:before="0" w:after="0" w:line="420" w:lineRule="auto"/>
              <w:jc w:val="left"/>
            </w:pPr>
            <w:r>
              <w:rPr>
                <w:rFonts w:ascii="Times New Roman" w:hAnsi="Times New Roman" w:eastAsia="宋体"/>
                <w:sz w:val="20"/>
                <w:szCs w:val="20"/>
              </w:rPr>
              <w:t>B维度</w:t>
            </w:r>
          </w:p>
        </w:tc>
        <w:tc>
          <w:tcPr>
            <w:tcW w:w="1500" w:type="dxa"/>
            <w:shd w:val="clear" w:color="auto" w:fill="FFFFFF"/>
            <w:vAlign w:val="center"/>
          </w:tcPr>
          <w:p w14:paraId="74FFB49F">
            <w:pPr>
              <w:spacing w:before="0" w:after="0" w:line="420" w:lineRule="auto"/>
              <w:jc w:val="left"/>
            </w:pPr>
            <w:r>
              <w:rPr>
                <w:rFonts w:ascii="Times New Roman" w:hAnsi="Times New Roman" w:eastAsia="宋体"/>
                <w:sz w:val="20"/>
                <w:szCs w:val="20"/>
              </w:rPr>
              <w:t>0.8401</w:t>
            </w:r>
          </w:p>
        </w:tc>
        <w:tc>
          <w:tcPr>
            <w:tcW w:w="1500" w:type="dxa"/>
            <w:shd w:val="clear" w:color="auto" w:fill="FFFFFF"/>
            <w:vAlign w:val="center"/>
          </w:tcPr>
          <w:p w14:paraId="37DC2CCA">
            <w:pPr>
              <w:spacing w:before="0" w:after="0" w:line="420" w:lineRule="auto"/>
              <w:jc w:val="left"/>
            </w:pPr>
            <w:r>
              <w:rPr>
                <w:rFonts w:ascii="Times New Roman" w:hAnsi="Times New Roman" w:eastAsia="宋体"/>
                <w:sz w:val="20"/>
                <w:szCs w:val="20"/>
              </w:rPr>
              <w:t>0.4897</w:t>
            </w:r>
          </w:p>
        </w:tc>
        <w:tc>
          <w:tcPr>
            <w:tcW w:w="1500" w:type="dxa"/>
            <w:shd w:val="clear" w:color="auto" w:fill="FFFFFF"/>
            <w:vAlign w:val="center"/>
          </w:tcPr>
          <w:p w14:paraId="366DC9C0">
            <w:pPr>
              <w:spacing w:before="0" w:after="0" w:line="420" w:lineRule="auto"/>
              <w:jc w:val="left"/>
            </w:pPr>
            <w:r>
              <w:rPr>
                <w:rFonts w:ascii="Times New Roman" w:hAnsi="Times New Roman" w:eastAsia="宋体"/>
                <w:sz w:val="20"/>
                <w:szCs w:val="20"/>
              </w:rPr>
              <w:t>62.3245</w:t>
            </w:r>
          </w:p>
        </w:tc>
        <w:tc>
          <w:tcPr>
            <w:tcW w:w="2900" w:type="dxa"/>
            <w:shd w:val="clear" w:color="auto" w:fill="FFFFFF"/>
            <w:vAlign w:val="center"/>
          </w:tcPr>
          <w:p w14:paraId="463C37E6">
            <w:pPr>
              <w:spacing w:before="0" w:after="0" w:line="420" w:lineRule="auto"/>
              <w:jc w:val="left"/>
            </w:pPr>
            <w:r>
              <w:rPr>
                <w:rFonts w:ascii="Times New Roman" w:hAnsi="Times New Roman" w:eastAsia="宋体"/>
                <w:sz w:val="20"/>
                <w:szCs w:val="20"/>
              </w:rPr>
              <w:t>文档级代码本覆盖率诊断</w:t>
            </w:r>
          </w:p>
        </w:tc>
      </w:tr>
      <w:tr w14:paraId="2BAB8EE3">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4B55F112">
            <w:pPr>
              <w:spacing w:before="0" w:after="0" w:line="420" w:lineRule="auto"/>
              <w:jc w:val="left"/>
            </w:pPr>
            <w:r>
              <w:rPr>
                <w:rFonts w:ascii="Times New Roman" w:hAnsi="Times New Roman" w:eastAsia="宋体"/>
                <w:sz w:val="20"/>
                <w:szCs w:val="20"/>
              </w:rPr>
              <w:t>C维度</w:t>
            </w:r>
          </w:p>
        </w:tc>
        <w:tc>
          <w:tcPr>
            <w:tcW w:w="1500" w:type="dxa"/>
            <w:shd w:val="clear" w:color="auto" w:fill="FFFFFF"/>
            <w:vAlign w:val="center"/>
          </w:tcPr>
          <w:p w14:paraId="2E57B79E">
            <w:pPr>
              <w:spacing w:before="0" w:after="0" w:line="420" w:lineRule="auto"/>
              <w:jc w:val="left"/>
            </w:pPr>
            <w:r>
              <w:rPr>
                <w:rFonts w:ascii="Times New Roman" w:hAnsi="Times New Roman" w:eastAsia="宋体"/>
                <w:sz w:val="20"/>
                <w:szCs w:val="20"/>
              </w:rPr>
              <w:t>0.9533</w:t>
            </w:r>
          </w:p>
        </w:tc>
        <w:tc>
          <w:tcPr>
            <w:tcW w:w="1500" w:type="dxa"/>
            <w:shd w:val="clear" w:color="auto" w:fill="FFFFFF"/>
            <w:vAlign w:val="center"/>
          </w:tcPr>
          <w:p w14:paraId="24342FF6">
            <w:pPr>
              <w:spacing w:before="0" w:after="0" w:line="420" w:lineRule="auto"/>
              <w:jc w:val="left"/>
            </w:pPr>
            <w:r>
              <w:rPr>
                <w:rFonts w:ascii="Times New Roman" w:hAnsi="Times New Roman" w:eastAsia="宋体"/>
                <w:sz w:val="20"/>
                <w:szCs w:val="20"/>
              </w:rPr>
              <w:t>0.4315</w:t>
            </w:r>
          </w:p>
        </w:tc>
        <w:tc>
          <w:tcPr>
            <w:tcW w:w="1500" w:type="dxa"/>
            <w:shd w:val="clear" w:color="auto" w:fill="FFFFFF"/>
            <w:vAlign w:val="center"/>
          </w:tcPr>
          <w:p w14:paraId="171B5810">
            <w:pPr>
              <w:spacing w:before="0" w:after="0" w:line="420" w:lineRule="auto"/>
              <w:jc w:val="left"/>
            </w:pPr>
            <w:r>
              <w:rPr>
                <w:rFonts w:ascii="Times New Roman" w:hAnsi="Times New Roman" w:eastAsia="宋体"/>
                <w:sz w:val="20"/>
                <w:szCs w:val="20"/>
              </w:rPr>
              <w:t>167.8381</w:t>
            </w:r>
          </w:p>
        </w:tc>
        <w:tc>
          <w:tcPr>
            <w:tcW w:w="2900" w:type="dxa"/>
            <w:shd w:val="clear" w:color="auto" w:fill="FFFFFF"/>
            <w:vAlign w:val="center"/>
          </w:tcPr>
          <w:p w14:paraId="76F32EBB">
            <w:pPr>
              <w:spacing w:before="0" w:after="0" w:line="420" w:lineRule="auto"/>
              <w:jc w:val="left"/>
            </w:pPr>
            <w:r>
              <w:rPr>
                <w:rFonts w:ascii="Times New Roman" w:hAnsi="Times New Roman" w:eastAsia="宋体"/>
                <w:sz w:val="20"/>
                <w:szCs w:val="20"/>
              </w:rPr>
              <w:t>文档级代码本覆盖率诊断</w:t>
            </w:r>
          </w:p>
        </w:tc>
      </w:tr>
      <w:tr w14:paraId="14930D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50DF04A1">
            <w:pPr>
              <w:spacing w:before="0" w:after="0" w:line="420" w:lineRule="auto"/>
              <w:jc w:val="left"/>
            </w:pPr>
            <w:r>
              <w:rPr>
                <w:rFonts w:ascii="Times New Roman" w:hAnsi="Times New Roman" w:eastAsia="宋体"/>
                <w:sz w:val="20"/>
                <w:szCs w:val="20"/>
              </w:rPr>
              <w:t>D维度</w:t>
            </w:r>
          </w:p>
        </w:tc>
        <w:tc>
          <w:tcPr>
            <w:tcW w:w="1500" w:type="dxa"/>
            <w:shd w:val="clear" w:color="auto" w:fill="FFFFFF"/>
            <w:vAlign w:val="center"/>
          </w:tcPr>
          <w:p w14:paraId="04C7A18F">
            <w:pPr>
              <w:spacing w:before="0" w:after="0" w:line="420" w:lineRule="auto"/>
              <w:jc w:val="left"/>
            </w:pPr>
            <w:r>
              <w:rPr>
                <w:rFonts w:ascii="Times New Roman" w:hAnsi="Times New Roman" w:eastAsia="宋体"/>
                <w:sz w:val="20"/>
                <w:szCs w:val="20"/>
              </w:rPr>
              <w:t>0.7666</w:t>
            </w:r>
          </w:p>
        </w:tc>
        <w:tc>
          <w:tcPr>
            <w:tcW w:w="1500" w:type="dxa"/>
            <w:shd w:val="clear" w:color="auto" w:fill="FFFFFF"/>
            <w:vAlign w:val="center"/>
          </w:tcPr>
          <w:p w14:paraId="1FCE7267">
            <w:pPr>
              <w:spacing w:before="0" w:after="0" w:line="420" w:lineRule="auto"/>
              <w:jc w:val="left"/>
            </w:pPr>
            <w:r>
              <w:rPr>
                <w:rFonts w:ascii="Times New Roman" w:hAnsi="Times New Roman" w:eastAsia="宋体"/>
                <w:sz w:val="20"/>
                <w:szCs w:val="20"/>
              </w:rPr>
              <w:t>0.0000</w:t>
            </w:r>
          </w:p>
        </w:tc>
        <w:tc>
          <w:tcPr>
            <w:tcW w:w="1500" w:type="dxa"/>
            <w:shd w:val="clear" w:color="auto" w:fill="FFFFFF"/>
            <w:vAlign w:val="center"/>
          </w:tcPr>
          <w:p w14:paraId="680AA9A3">
            <w:pPr>
              <w:spacing w:before="0" w:after="0" w:line="420" w:lineRule="auto"/>
              <w:jc w:val="left"/>
            </w:pPr>
            <w:r>
              <w:rPr>
                <w:rFonts w:ascii="Times New Roman" w:hAnsi="Times New Roman" w:eastAsia="宋体"/>
                <w:sz w:val="20"/>
                <w:szCs w:val="20"/>
              </w:rPr>
              <w:t>30.4879</w:t>
            </w:r>
          </w:p>
        </w:tc>
        <w:tc>
          <w:tcPr>
            <w:tcW w:w="2900" w:type="dxa"/>
            <w:shd w:val="clear" w:color="auto" w:fill="FFFFFF"/>
            <w:vAlign w:val="center"/>
          </w:tcPr>
          <w:p w14:paraId="3CF0CA69">
            <w:pPr>
              <w:spacing w:before="0" w:after="0" w:line="420" w:lineRule="auto"/>
              <w:jc w:val="left"/>
            </w:pPr>
            <w:r>
              <w:rPr>
                <w:rFonts w:ascii="Times New Roman" w:hAnsi="Times New Roman" w:eastAsia="宋体"/>
                <w:sz w:val="20"/>
                <w:szCs w:val="20"/>
              </w:rPr>
              <w:t>文档级代码本覆盖率诊断</w:t>
            </w:r>
          </w:p>
        </w:tc>
      </w:tr>
    </w:tbl>
    <w:p w14:paraId="4A7CF27F">
      <w:pPr>
        <w:spacing w:before="0" w:after="40" w:line="420" w:lineRule="auto"/>
        <w:jc w:val="center"/>
      </w:pPr>
      <w:r>
        <w:rPr>
          <w:rFonts w:ascii="Times New Roman" w:hAnsi="Times New Roman" w:eastAsia="宋体"/>
          <w:sz w:val="21"/>
          <w:szCs w:val="21"/>
        </w:rPr>
        <w:t>附表C 处理年份结构</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870"/>
        <w:gridCol w:w="1402"/>
        <w:gridCol w:w="5727"/>
      </w:tblGrid>
      <w:tr w14:paraId="5238F8D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EDEDED"/>
            <w:vAlign w:val="center"/>
          </w:tcPr>
          <w:p w14:paraId="74D573D4">
            <w:pPr>
              <w:spacing w:before="0" w:after="0" w:line="420" w:lineRule="auto"/>
              <w:jc w:val="center"/>
            </w:pPr>
            <w:r>
              <w:rPr>
                <w:rFonts w:ascii="Times New Roman" w:hAnsi="Times New Roman" w:eastAsia="宋体"/>
                <w:b/>
                <w:sz w:val="20"/>
                <w:szCs w:val="20"/>
              </w:rPr>
              <w:t>处理年份结构</w:t>
            </w:r>
          </w:p>
        </w:tc>
        <w:tc>
          <w:tcPr>
            <w:tcW w:w="1402" w:type="dxa"/>
            <w:shd w:val="clear" w:color="auto" w:fill="EDEDED"/>
            <w:vAlign w:val="center"/>
          </w:tcPr>
          <w:p w14:paraId="570B8CAF">
            <w:pPr>
              <w:spacing w:before="0" w:after="0" w:line="420" w:lineRule="auto"/>
              <w:jc w:val="center"/>
            </w:pPr>
            <w:r>
              <w:rPr>
                <w:rFonts w:ascii="Times New Roman" w:hAnsi="Times New Roman" w:eastAsia="宋体"/>
                <w:b/>
                <w:sz w:val="20"/>
                <w:szCs w:val="20"/>
              </w:rPr>
              <w:t>地区数</w:t>
            </w:r>
          </w:p>
        </w:tc>
        <w:tc>
          <w:tcPr>
            <w:tcW w:w="5727" w:type="dxa"/>
            <w:shd w:val="clear" w:color="auto" w:fill="EDEDED"/>
            <w:vAlign w:val="center"/>
          </w:tcPr>
          <w:p w14:paraId="68268F68">
            <w:pPr>
              <w:spacing w:before="0" w:after="0" w:line="420" w:lineRule="auto"/>
              <w:jc w:val="center"/>
            </w:pPr>
            <w:r>
              <w:rPr>
                <w:rFonts w:ascii="Times New Roman" w:hAnsi="Times New Roman" w:eastAsia="宋体"/>
                <w:b/>
                <w:sz w:val="20"/>
                <w:szCs w:val="20"/>
              </w:rPr>
              <w:t>说明</w:t>
            </w:r>
          </w:p>
        </w:tc>
      </w:tr>
      <w:tr w14:paraId="4A18E39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7DBB4B11">
            <w:pPr>
              <w:spacing w:before="0" w:after="0" w:line="420" w:lineRule="auto"/>
              <w:jc w:val="left"/>
            </w:pPr>
            <w:r>
              <w:rPr>
                <w:rFonts w:ascii="Times New Roman" w:hAnsi="Times New Roman" w:eastAsia="宋体"/>
                <w:sz w:val="20"/>
                <w:szCs w:val="20"/>
              </w:rPr>
              <w:t>2016</w:t>
            </w:r>
          </w:p>
        </w:tc>
        <w:tc>
          <w:tcPr>
            <w:tcW w:w="1402" w:type="dxa"/>
            <w:shd w:val="clear" w:color="auto" w:fill="FFFFFF"/>
            <w:vAlign w:val="center"/>
          </w:tcPr>
          <w:p w14:paraId="5B000648">
            <w:pPr>
              <w:spacing w:before="0" w:after="0" w:line="420" w:lineRule="auto"/>
              <w:jc w:val="left"/>
            </w:pPr>
            <w:r>
              <w:rPr>
                <w:rFonts w:ascii="Times New Roman" w:hAnsi="Times New Roman" w:eastAsia="宋体"/>
                <w:sz w:val="20"/>
                <w:szCs w:val="20"/>
              </w:rPr>
              <w:t>28</w:t>
            </w:r>
          </w:p>
        </w:tc>
        <w:tc>
          <w:tcPr>
            <w:tcW w:w="5727" w:type="dxa"/>
            <w:shd w:val="clear" w:color="auto" w:fill="FFFFFF"/>
            <w:vAlign w:val="center"/>
          </w:tcPr>
          <w:p w14:paraId="2FF25E74">
            <w:pPr>
              <w:spacing w:before="0" w:after="0" w:line="420" w:lineRule="auto"/>
              <w:jc w:val="left"/>
            </w:pPr>
            <w:r>
              <w:rPr>
                <w:rFonts w:ascii="Times New Roman" w:hAnsi="Times New Roman" w:eastAsia="宋体"/>
                <w:sz w:val="20"/>
                <w:szCs w:val="20"/>
              </w:rPr>
              <w:t>首个处理年份的主体批次</w:t>
            </w:r>
          </w:p>
        </w:tc>
      </w:tr>
      <w:tr w14:paraId="78D38EB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5B307E39">
            <w:pPr>
              <w:spacing w:before="0" w:after="0" w:line="420" w:lineRule="auto"/>
              <w:jc w:val="left"/>
            </w:pPr>
            <w:r>
              <w:rPr>
                <w:rFonts w:ascii="Times New Roman" w:hAnsi="Times New Roman" w:eastAsia="宋体"/>
                <w:sz w:val="20"/>
                <w:szCs w:val="20"/>
              </w:rPr>
              <w:t>2017</w:t>
            </w:r>
          </w:p>
        </w:tc>
        <w:tc>
          <w:tcPr>
            <w:tcW w:w="1402" w:type="dxa"/>
            <w:shd w:val="clear" w:color="auto" w:fill="FFFFFF"/>
            <w:vAlign w:val="center"/>
          </w:tcPr>
          <w:p w14:paraId="3FC8D987">
            <w:pPr>
              <w:spacing w:before="0" w:after="0" w:line="420" w:lineRule="auto"/>
              <w:jc w:val="left"/>
            </w:pPr>
            <w:r>
              <w:rPr>
                <w:rFonts w:ascii="Times New Roman" w:hAnsi="Times New Roman" w:eastAsia="宋体"/>
                <w:sz w:val="20"/>
                <w:szCs w:val="20"/>
              </w:rPr>
              <w:t>1</w:t>
            </w:r>
          </w:p>
        </w:tc>
        <w:tc>
          <w:tcPr>
            <w:tcW w:w="5727" w:type="dxa"/>
            <w:shd w:val="clear" w:color="auto" w:fill="FFFFFF"/>
            <w:vAlign w:val="center"/>
          </w:tcPr>
          <w:p w14:paraId="2CFEEEE5">
            <w:pPr>
              <w:spacing w:before="0" w:after="0" w:line="420" w:lineRule="auto"/>
              <w:jc w:val="left"/>
            </w:pPr>
            <w:r>
              <w:rPr>
                <w:rFonts w:ascii="Times New Roman" w:hAnsi="Times New Roman" w:eastAsia="宋体"/>
                <w:sz w:val="20"/>
                <w:szCs w:val="20"/>
              </w:rPr>
              <w:t>后续少量进入处理</w:t>
            </w:r>
          </w:p>
        </w:tc>
      </w:tr>
      <w:tr w14:paraId="15FBCFD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37BA0622">
            <w:pPr>
              <w:spacing w:before="0" w:after="0" w:line="420" w:lineRule="auto"/>
              <w:jc w:val="left"/>
            </w:pPr>
            <w:r>
              <w:rPr>
                <w:rFonts w:ascii="Times New Roman" w:hAnsi="Times New Roman" w:eastAsia="宋体"/>
                <w:sz w:val="20"/>
                <w:szCs w:val="20"/>
              </w:rPr>
              <w:t>Never-treated</w:t>
            </w:r>
          </w:p>
        </w:tc>
        <w:tc>
          <w:tcPr>
            <w:tcW w:w="1402" w:type="dxa"/>
            <w:shd w:val="clear" w:color="auto" w:fill="FFFFFF"/>
            <w:vAlign w:val="center"/>
          </w:tcPr>
          <w:p w14:paraId="746B9718">
            <w:pPr>
              <w:spacing w:before="0" w:after="0" w:line="420" w:lineRule="auto"/>
              <w:jc w:val="left"/>
            </w:pPr>
            <w:r>
              <w:rPr>
                <w:rFonts w:ascii="Times New Roman" w:hAnsi="Times New Roman" w:eastAsia="宋体"/>
                <w:sz w:val="20"/>
                <w:szCs w:val="20"/>
              </w:rPr>
              <w:t>3</w:t>
            </w:r>
          </w:p>
        </w:tc>
        <w:tc>
          <w:tcPr>
            <w:tcW w:w="5727" w:type="dxa"/>
            <w:shd w:val="clear" w:color="auto" w:fill="FFFFFF"/>
            <w:vAlign w:val="center"/>
          </w:tcPr>
          <w:p w14:paraId="09FD63FE">
            <w:pPr>
              <w:spacing w:before="0" w:after="0" w:line="420" w:lineRule="auto"/>
              <w:jc w:val="left"/>
            </w:pPr>
            <w:r>
              <w:rPr>
                <w:rFonts w:ascii="Times New Roman" w:hAnsi="Times New Roman" w:eastAsia="宋体"/>
                <w:sz w:val="20"/>
                <w:szCs w:val="20"/>
              </w:rPr>
              <w:t>新疆生产建设兵团、海南、青海</w:t>
            </w:r>
          </w:p>
        </w:tc>
      </w:tr>
    </w:tbl>
    <w:p w14:paraId="6351D0E7">
      <w:pPr>
        <w:spacing w:before="0" w:after="40" w:line="420" w:lineRule="auto"/>
        <w:jc w:val="center"/>
      </w:pPr>
      <w:r>
        <w:rPr>
          <w:rFonts w:ascii="Times New Roman" w:hAnsi="Times New Roman" w:eastAsia="宋体"/>
          <w:sz w:val="21"/>
          <w:szCs w:val="21"/>
        </w:rPr>
        <w:t>附表D 核心变量扩展描述统计</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571"/>
        <w:gridCol w:w="1607"/>
        <w:gridCol w:w="1607"/>
        <w:gridCol w:w="1607"/>
        <w:gridCol w:w="1607"/>
      </w:tblGrid>
      <w:tr w14:paraId="2786EA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EDEDED"/>
            <w:vAlign w:val="center"/>
          </w:tcPr>
          <w:p w14:paraId="491685D6">
            <w:pPr>
              <w:spacing w:before="0" w:after="0" w:line="420" w:lineRule="auto"/>
              <w:jc w:val="center"/>
            </w:pPr>
            <w:r>
              <w:rPr>
                <w:rFonts w:ascii="Times New Roman" w:hAnsi="Times New Roman" w:eastAsia="宋体"/>
                <w:b/>
                <w:sz w:val="20"/>
                <w:szCs w:val="20"/>
              </w:rPr>
              <w:t>变量</w:t>
            </w:r>
          </w:p>
        </w:tc>
        <w:tc>
          <w:tcPr>
            <w:tcW w:w="1607" w:type="dxa"/>
            <w:shd w:val="clear" w:color="auto" w:fill="EDEDED"/>
            <w:vAlign w:val="center"/>
          </w:tcPr>
          <w:p w14:paraId="14612127">
            <w:pPr>
              <w:spacing w:before="0" w:after="0" w:line="420" w:lineRule="auto"/>
              <w:jc w:val="center"/>
            </w:pPr>
            <w:r>
              <w:rPr>
                <w:rFonts w:ascii="Times New Roman" w:hAnsi="Times New Roman" w:eastAsia="宋体"/>
                <w:b/>
                <w:sz w:val="20"/>
                <w:szCs w:val="20"/>
              </w:rPr>
              <w:t>均值</w:t>
            </w:r>
          </w:p>
        </w:tc>
        <w:tc>
          <w:tcPr>
            <w:tcW w:w="1607" w:type="dxa"/>
            <w:shd w:val="clear" w:color="auto" w:fill="EDEDED"/>
            <w:vAlign w:val="center"/>
          </w:tcPr>
          <w:p w14:paraId="588081F1">
            <w:pPr>
              <w:spacing w:before="0" w:after="0" w:line="420" w:lineRule="auto"/>
              <w:jc w:val="center"/>
            </w:pPr>
            <w:r>
              <w:rPr>
                <w:rFonts w:ascii="Times New Roman" w:hAnsi="Times New Roman" w:eastAsia="宋体"/>
                <w:b/>
                <w:sz w:val="20"/>
                <w:szCs w:val="20"/>
              </w:rPr>
              <w:t>标准差</w:t>
            </w:r>
          </w:p>
        </w:tc>
        <w:tc>
          <w:tcPr>
            <w:tcW w:w="1607" w:type="dxa"/>
            <w:shd w:val="clear" w:color="auto" w:fill="EDEDED"/>
            <w:vAlign w:val="center"/>
          </w:tcPr>
          <w:p w14:paraId="3240F08E">
            <w:pPr>
              <w:spacing w:before="0" w:after="0" w:line="420" w:lineRule="auto"/>
              <w:jc w:val="center"/>
            </w:pPr>
            <w:r>
              <w:rPr>
                <w:rFonts w:ascii="Times New Roman" w:hAnsi="Times New Roman" w:eastAsia="宋体"/>
                <w:b/>
                <w:sz w:val="20"/>
                <w:szCs w:val="20"/>
              </w:rPr>
              <w:t>最小值</w:t>
            </w:r>
          </w:p>
        </w:tc>
        <w:tc>
          <w:tcPr>
            <w:tcW w:w="1607" w:type="dxa"/>
            <w:shd w:val="clear" w:color="auto" w:fill="EDEDED"/>
            <w:vAlign w:val="center"/>
          </w:tcPr>
          <w:p w14:paraId="1109609D">
            <w:pPr>
              <w:spacing w:before="0" w:after="0" w:line="420" w:lineRule="auto"/>
              <w:jc w:val="center"/>
            </w:pPr>
            <w:r>
              <w:rPr>
                <w:rFonts w:ascii="Times New Roman" w:hAnsi="Times New Roman" w:eastAsia="宋体"/>
                <w:b/>
                <w:sz w:val="20"/>
                <w:szCs w:val="20"/>
              </w:rPr>
              <w:t>最大值</w:t>
            </w:r>
          </w:p>
        </w:tc>
      </w:tr>
      <w:tr w14:paraId="5C74E8B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3069FE4D">
            <w:pPr>
              <w:spacing w:before="0" w:after="0" w:line="420" w:lineRule="auto"/>
              <w:jc w:val="left"/>
            </w:pPr>
            <w:r>
              <w:rPr>
                <w:rFonts w:ascii="Times New Roman" w:hAnsi="Times New Roman" w:eastAsia="宋体"/>
                <w:sz w:val="20"/>
                <w:szCs w:val="20"/>
              </w:rPr>
              <w:t>ppp_governance_capacity_index</w:t>
            </w:r>
          </w:p>
        </w:tc>
        <w:tc>
          <w:tcPr>
            <w:tcW w:w="1607" w:type="dxa"/>
            <w:shd w:val="clear" w:color="auto" w:fill="FFFFFF"/>
            <w:vAlign w:val="center"/>
          </w:tcPr>
          <w:p w14:paraId="6AB3496C">
            <w:pPr>
              <w:spacing w:before="0" w:after="0" w:line="420" w:lineRule="auto"/>
              <w:jc w:val="left"/>
            </w:pPr>
            <w:r>
              <w:rPr>
                <w:rFonts w:ascii="Times New Roman" w:hAnsi="Times New Roman" w:eastAsia="宋体"/>
                <w:sz w:val="20"/>
                <w:szCs w:val="20"/>
              </w:rPr>
              <w:t>0.0604</w:t>
            </w:r>
          </w:p>
        </w:tc>
        <w:tc>
          <w:tcPr>
            <w:tcW w:w="1607" w:type="dxa"/>
            <w:shd w:val="clear" w:color="auto" w:fill="FFFFFF"/>
            <w:vAlign w:val="center"/>
          </w:tcPr>
          <w:p w14:paraId="05EB036A">
            <w:pPr>
              <w:spacing w:before="0" w:after="0" w:line="420" w:lineRule="auto"/>
              <w:jc w:val="left"/>
            </w:pPr>
            <w:r>
              <w:rPr>
                <w:rFonts w:ascii="Times New Roman" w:hAnsi="Times New Roman" w:eastAsia="宋体"/>
                <w:sz w:val="20"/>
                <w:szCs w:val="20"/>
              </w:rPr>
              <w:t>0.4730</w:t>
            </w:r>
          </w:p>
        </w:tc>
        <w:tc>
          <w:tcPr>
            <w:tcW w:w="1607" w:type="dxa"/>
            <w:shd w:val="clear" w:color="auto" w:fill="FFFFFF"/>
            <w:vAlign w:val="center"/>
          </w:tcPr>
          <w:p w14:paraId="3DBF0F68">
            <w:pPr>
              <w:spacing w:before="0" w:after="0" w:line="420" w:lineRule="auto"/>
              <w:jc w:val="left"/>
            </w:pPr>
            <w:r>
              <w:rPr>
                <w:rFonts w:ascii="Times New Roman" w:hAnsi="Times New Roman" w:eastAsia="宋体"/>
                <w:sz w:val="20"/>
                <w:szCs w:val="20"/>
              </w:rPr>
              <w:t>-1.3530</w:t>
            </w:r>
          </w:p>
        </w:tc>
        <w:tc>
          <w:tcPr>
            <w:tcW w:w="1607" w:type="dxa"/>
            <w:shd w:val="clear" w:color="auto" w:fill="FFFFFF"/>
            <w:vAlign w:val="center"/>
          </w:tcPr>
          <w:p w14:paraId="77B0D0AC">
            <w:pPr>
              <w:spacing w:before="0" w:after="0" w:line="420" w:lineRule="auto"/>
              <w:jc w:val="left"/>
            </w:pPr>
            <w:r>
              <w:rPr>
                <w:rFonts w:ascii="Times New Roman" w:hAnsi="Times New Roman" w:eastAsia="宋体"/>
                <w:sz w:val="20"/>
                <w:szCs w:val="20"/>
              </w:rPr>
              <w:t>1.7378</w:t>
            </w:r>
          </w:p>
        </w:tc>
      </w:tr>
      <w:tr w14:paraId="1D9C7C92">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6ABF49FC">
            <w:pPr>
              <w:spacing w:before="0" w:after="0" w:line="420" w:lineRule="auto"/>
              <w:jc w:val="left"/>
            </w:pPr>
            <w:r>
              <w:rPr>
                <w:rFonts w:ascii="Times New Roman" w:hAnsi="Times New Roman" w:eastAsia="宋体"/>
                <w:sz w:val="20"/>
                <w:szCs w:val="20"/>
              </w:rPr>
              <w:t>ppp_norm_risk_index</w:t>
            </w:r>
          </w:p>
        </w:tc>
        <w:tc>
          <w:tcPr>
            <w:tcW w:w="1607" w:type="dxa"/>
            <w:shd w:val="clear" w:color="auto" w:fill="FFFFFF"/>
            <w:vAlign w:val="center"/>
          </w:tcPr>
          <w:p w14:paraId="228D4F1E">
            <w:pPr>
              <w:spacing w:before="0" w:after="0" w:line="420" w:lineRule="auto"/>
              <w:jc w:val="left"/>
            </w:pPr>
            <w:r>
              <w:rPr>
                <w:rFonts w:ascii="Times New Roman" w:hAnsi="Times New Roman" w:eastAsia="宋体"/>
                <w:sz w:val="20"/>
                <w:szCs w:val="20"/>
              </w:rPr>
              <w:t>0.0762</w:t>
            </w:r>
          </w:p>
        </w:tc>
        <w:tc>
          <w:tcPr>
            <w:tcW w:w="1607" w:type="dxa"/>
            <w:shd w:val="clear" w:color="auto" w:fill="FFFFFF"/>
            <w:vAlign w:val="center"/>
          </w:tcPr>
          <w:p w14:paraId="3CF46948">
            <w:pPr>
              <w:spacing w:before="0" w:after="0" w:line="420" w:lineRule="auto"/>
              <w:jc w:val="left"/>
            </w:pPr>
            <w:r>
              <w:rPr>
                <w:rFonts w:ascii="Times New Roman" w:hAnsi="Times New Roman" w:eastAsia="宋体"/>
                <w:sz w:val="20"/>
                <w:szCs w:val="20"/>
              </w:rPr>
              <w:t>0.5366</w:t>
            </w:r>
          </w:p>
        </w:tc>
        <w:tc>
          <w:tcPr>
            <w:tcW w:w="1607" w:type="dxa"/>
            <w:shd w:val="clear" w:color="auto" w:fill="FFFFFF"/>
            <w:vAlign w:val="center"/>
          </w:tcPr>
          <w:p w14:paraId="2C9744D3">
            <w:pPr>
              <w:spacing w:before="0" w:after="0" w:line="420" w:lineRule="auto"/>
              <w:jc w:val="left"/>
            </w:pPr>
            <w:r>
              <w:rPr>
                <w:rFonts w:ascii="Times New Roman" w:hAnsi="Times New Roman" w:eastAsia="宋体"/>
                <w:sz w:val="20"/>
                <w:szCs w:val="20"/>
              </w:rPr>
              <w:t>-1.4887</w:t>
            </w:r>
          </w:p>
        </w:tc>
        <w:tc>
          <w:tcPr>
            <w:tcW w:w="1607" w:type="dxa"/>
            <w:shd w:val="clear" w:color="auto" w:fill="FFFFFF"/>
            <w:vAlign w:val="center"/>
          </w:tcPr>
          <w:p w14:paraId="55077D7C">
            <w:pPr>
              <w:spacing w:before="0" w:after="0" w:line="420" w:lineRule="auto"/>
              <w:jc w:val="left"/>
            </w:pPr>
            <w:r>
              <w:rPr>
                <w:rFonts w:ascii="Times New Roman" w:hAnsi="Times New Roman" w:eastAsia="宋体"/>
                <w:sz w:val="20"/>
                <w:szCs w:val="20"/>
              </w:rPr>
              <w:t>2.1507</w:t>
            </w:r>
          </w:p>
        </w:tc>
      </w:tr>
      <w:tr w14:paraId="2D1D615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2279574E">
            <w:pPr>
              <w:spacing w:before="0" w:after="0" w:line="420" w:lineRule="auto"/>
              <w:jc w:val="left"/>
            </w:pPr>
            <w:r>
              <w:rPr>
                <w:rFonts w:ascii="Times New Roman" w:hAnsi="Times New Roman" w:eastAsia="宋体"/>
                <w:sz w:val="20"/>
                <w:szCs w:val="20"/>
              </w:rPr>
              <w:t>dfi</w:t>
            </w:r>
          </w:p>
        </w:tc>
        <w:tc>
          <w:tcPr>
            <w:tcW w:w="1607" w:type="dxa"/>
            <w:shd w:val="clear" w:color="auto" w:fill="FFFFFF"/>
            <w:vAlign w:val="center"/>
          </w:tcPr>
          <w:p w14:paraId="382F096A">
            <w:pPr>
              <w:spacing w:before="0" w:after="0" w:line="420" w:lineRule="auto"/>
              <w:jc w:val="left"/>
            </w:pPr>
            <w:r>
              <w:rPr>
                <w:rFonts w:ascii="Times New Roman" w:hAnsi="Times New Roman" w:eastAsia="宋体"/>
                <w:sz w:val="20"/>
                <w:szCs w:val="20"/>
              </w:rPr>
              <w:t>263.8445</w:t>
            </w:r>
          </w:p>
        </w:tc>
        <w:tc>
          <w:tcPr>
            <w:tcW w:w="1607" w:type="dxa"/>
            <w:shd w:val="clear" w:color="auto" w:fill="FFFFFF"/>
            <w:vAlign w:val="center"/>
          </w:tcPr>
          <w:p w14:paraId="158BE918">
            <w:pPr>
              <w:spacing w:before="0" w:after="0" w:line="420" w:lineRule="auto"/>
              <w:jc w:val="left"/>
            </w:pPr>
            <w:r>
              <w:rPr>
                <w:rFonts w:ascii="Times New Roman" w:hAnsi="Times New Roman" w:eastAsia="宋体"/>
                <w:sz w:val="20"/>
                <w:szCs w:val="20"/>
              </w:rPr>
              <w:t>97.5400</w:t>
            </w:r>
          </w:p>
        </w:tc>
        <w:tc>
          <w:tcPr>
            <w:tcW w:w="1607" w:type="dxa"/>
            <w:shd w:val="clear" w:color="auto" w:fill="FFFFFF"/>
            <w:vAlign w:val="center"/>
          </w:tcPr>
          <w:p w14:paraId="1D63F9EF">
            <w:pPr>
              <w:spacing w:before="0" w:after="0" w:line="420" w:lineRule="auto"/>
              <w:jc w:val="left"/>
            </w:pPr>
            <w:r>
              <w:rPr>
                <w:rFonts w:ascii="Times New Roman" w:hAnsi="Times New Roman" w:eastAsia="宋体"/>
                <w:sz w:val="20"/>
                <w:szCs w:val="20"/>
              </w:rPr>
              <w:t>61.4700</w:t>
            </w:r>
          </w:p>
        </w:tc>
        <w:tc>
          <w:tcPr>
            <w:tcW w:w="1607" w:type="dxa"/>
            <w:shd w:val="clear" w:color="auto" w:fill="FFFFFF"/>
            <w:vAlign w:val="center"/>
          </w:tcPr>
          <w:p w14:paraId="11C718ED">
            <w:pPr>
              <w:spacing w:before="0" w:after="0" w:line="420" w:lineRule="auto"/>
              <w:jc w:val="left"/>
            </w:pPr>
            <w:r>
              <w:rPr>
                <w:rFonts w:ascii="Times New Roman" w:hAnsi="Times New Roman" w:eastAsia="宋体"/>
                <w:sz w:val="20"/>
                <w:szCs w:val="20"/>
              </w:rPr>
              <w:t>458.9700</w:t>
            </w:r>
          </w:p>
        </w:tc>
      </w:tr>
      <w:tr w14:paraId="5D8BFB2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3A6236F3">
            <w:pPr>
              <w:spacing w:before="0" w:after="0" w:line="420" w:lineRule="auto"/>
              <w:jc w:val="left"/>
            </w:pPr>
            <w:r>
              <w:rPr>
                <w:rFonts w:ascii="Times New Roman" w:hAnsi="Times New Roman" w:eastAsia="宋体"/>
                <w:sz w:val="20"/>
                <w:szCs w:val="20"/>
              </w:rPr>
              <w:t>digital_econ</w:t>
            </w:r>
          </w:p>
        </w:tc>
        <w:tc>
          <w:tcPr>
            <w:tcW w:w="1607" w:type="dxa"/>
            <w:shd w:val="clear" w:color="auto" w:fill="FFFFFF"/>
            <w:vAlign w:val="center"/>
          </w:tcPr>
          <w:p w14:paraId="1752DB1A">
            <w:pPr>
              <w:spacing w:before="0" w:after="0" w:line="420" w:lineRule="auto"/>
              <w:jc w:val="left"/>
            </w:pPr>
            <w:r>
              <w:rPr>
                <w:rFonts w:ascii="Times New Roman" w:hAnsi="Times New Roman" w:eastAsia="宋体"/>
                <w:sz w:val="20"/>
                <w:szCs w:val="20"/>
              </w:rPr>
              <w:t>0.1353</w:t>
            </w:r>
          </w:p>
        </w:tc>
        <w:tc>
          <w:tcPr>
            <w:tcW w:w="1607" w:type="dxa"/>
            <w:shd w:val="clear" w:color="auto" w:fill="FFFFFF"/>
            <w:vAlign w:val="center"/>
          </w:tcPr>
          <w:p w14:paraId="2C035266">
            <w:pPr>
              <w:spacing w:before="0" w:after="0" w:line="420" w:lineRule="auto"/>
              <w:jc w:val="left"/>
            </w:pPr>
            <w:r>
              <w:rPr>
                <w:rFonts w:ascii="Times New Roman" w:hAnsi="Times New Roman" w:eastAsia="宋体"/>
                <w:sz w:val="20"/>
                <w:szCs w:val="20"/>
              </w:rPr>
              <w:t>0.1047</w:t>
            </w:r>
          </w:p>
        </w:tc>
        <w:tc>
          <w:tcPr>
            <w:tcW w:w="1607" w:type="dxa"/>
            <w:shd w:val="clear" w:color="auto" w:fill="FFFFFF"/>
            <w:vAlign w:val="center"/>
          </w:tcPr>
          <w:p w14:paraId="0CE5ADCD">
            <w:pPr>
              <w:spacing w:before="0" w:after="0" w:line="420" w:lineRule="auto"/>
              <w:jc w:val="left"/>
            </w:pPr>
            <w:r>
              <w:rPr>
                <w:rFonts w:ascii="Times New Roman" w:hAnsi="Times New Roman" w:eastAsia="宋体"/>
                <w:sz w:val="20"/>
                <w:szCs w:val="20"/>
              </w:rPr>
              <w:t>0.0174</w:t>
            </w:r>
          </w:p>
        </w:tc>
        <w:tc>
          <w:tcPr>
            <w:tcW w:w="1607" w:type="dxa"/>
            <w:shd w:val="clear" w:color="auto" w:fill="FFFFFF"/>
            <w:vAlign w:val="center"/>
          </w:tcPr>
          <w:p w14:paraId="3C70F528">
            <w:pPr>
              <w:spacing w:before="0" w:after="0" w:line="420" w:lineRule="auto"/>
              <w:jc w:val="left"/>
            </w:pPr>
            <w:r>
              <w:rPr>
                <w:rFonts w:ascii="Times New Roman" w:hAnsi="Times New Roman" w:eastAsia="宋体"/>
                <w:sz w:val="20"/>
                <w:szCs w:val="20"/>
              </w:rPr>
              <w:t>0.5903</w:t>
            </w:r>
          </w:p>
        </w:tc>
      </w:tr>
      <w:tr w14:paraId="4642142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584D67C5">
            <w:pPr>
              <w:spacing w:before="0" w:after="0" w:line="420" w:lineRule="auto"/>
              <w:jc w:val="left"/>
            </w:pPr>
            <w:r>
              <w:rPr>
                <w:rFonts w:ascii="Times New Roman" w:hAnsi="Times New Roman" w:eastAsia="宋体"/>
                <w:sz w:val="20"/>
                <w:szCs w:val="20"/>
              </w:rPr>
              <w:t>ln_ppp_inv</w:t>
            </w:r>
          </w:p>
        </w:tc>
        <w:tc>
          <w:tcPr>
            <w:tcW w:w="1607" w:type="dxa"/>
            <w:shd w:val="clear" w:color="auto" w:fill="FFFFFF"/>
            <w:vAlign w:val="center"/>
          </w:tcPr>
          <w:p w14:paraId="178E1C97">
            <w:pPr>
              <w:spacing w:before="0" w:after="0" w:line="420" w:lineRule="auto"/>
              <w:jc w:val="left"/>
            </w:pPr>
            <w:r>
              <w:rPr>
                <w:rFonts w:ascii="Times New Roman" w:hAnsi="Times New Roman" w:eastAsia="宋体"/>
                <w:sz w:val="20"/>
                <w:szCs w:val="20"/>
              </w:rPr>
              <w:t>9.9757</w:t>
            </w:r>
          </w:p>
        </w:tc>
        <w:tc>
          <w:tcPr>
            <w:tcW w:w="1607" w:type="dxa"/>
            <w:shd w:val="clear" w:color="auto" w:fill="FFFFFF"/>
            <w:vAlign w:val="center"/>
          </w:tcPr>
          <w:p w14:paraId="39E41E62">
            <w:pPr>
              <w:spacing w:before="0" w:after="0" w:line="420" w:lineRule="auto"/>
              <w:jc w:val="left"/>
            </w:pPr>
            <w:r>
              <w:rPr>
                <w:rFonts w:ascii="Times New Roman" w:hAnsi="Times New Roman" w:eastAsia="宋体"/>
                <w:sz w:val="20"/>
                <w:szCs w:val="20"/>
              </w:rPr>
              <w:t>1.8626</w:t>
            </w:r>
          </w:p>
        </w:tc>
        <w:tc>
          <w:tcPr>
            <w:tcW w:w="1607" w:type="dxa"/>
            <w:shd w:val="clear" w:color="auto" w:fill="FFFFFF"/>
            <w:vAlign w:val="center"/>
          </w:tcPr>
          <w:p w14:paraId="576958D6">
            <w:pPr>
              <w:spacing w:before="0" w:after="0" w:line="420" w:lineRule="auto"/>
              <w:jc w:val="left"/>
            </w:pPr>
            <w:r>
              <w:rPr>
                <w:rFonts w:ascii="Times New Roman" w:hAnsi="Times New Roman" w:eastAsia="宋体"/>
                <w:sz w:val="20"/>
                <w:szCs w:val="20"/>
              </w:rPr>
              <w:t>2.9444</w:t>
            </w:r>
          </w:p>
        </w:tc>
        <w:tc>
          <w:tcPr>
            <w:tcW w:w="1607" w:type="dxa"/>
            <w:shd w:val="clear" w:color="auto" w:fill="FFFFFF"/>
            <w:vAlign w:val="center"/>
          </w:tcPr>
          <w:p w14:paraId="1401F09F">
            <w:pPr>
              <w:spacing w:before="0" w:after="0" w:line="420" w:lineRule="auto"/>
              <w:jc w:val="left"/>
            </w:pPr>
            <w:r>
              <w:rPr>
                <w:rFonts w:ascii="Times New Roman" w:hAnsi="Times New Roman" w:eastAsia="宋体"/>
                <w:sz w:val="20"/>
                <w:szCs w:val="20"/>
              </w:rPr>
              <w:t>12.8900</w:t>
            </w:r>
          </w:p>
        </w:tc>
      </w:tr>
      <w:tr w14:paraId="3BEBC90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0498387B">
            <w:pPr>
              <w:spacing w:before="0" w:after="0" w:line="420" w:lineRule="auto"/>
              <w:jc w:val="left"/>
            </w:pPr>
            <w:r>
              <w:rPr>
                <w:rFonts w:ascii="Times New Roman" w:hAnsi="Times New Roman" w:eastAsia="宋体"/>
                <w:sz w:val="20"/>
                <w:szCs w:val="20"/>
              </w:rPr>
              <w:t>doc_count</w:t>
            </w:r>
          </w:p>
        </w:tc>
        <w:tc>
          <w:tcPr>
            <w:tcW w:w="1607" w:type="dxa"/>
            <w:shd w:val="clear" w:color="auto" w:fill="FFFFFF"/>
            <w:vAlign w:val="center"/>
          </w:tcPr>
          <w:p w14:paraId="1787FF4C">
            <w:pPr>
              <w:spacing w:before="0" w:after="0" w:line="420" w:lineRule="auto"/>
              <w:jc w:val="left"/>
            </w:pPr>
            <w:r>
              <w:rPr>
                <w:rFonts w:ascii="Times New Roman" w:hAnsi="Times New Roman" w:eastAsia="宋体"/>
                <w:sz w:val="20"/>
                <w:szCs w:val="20"/>
              </w:rPr>
              <w:t>4.9023</w:t>
            </w:r>
          </w:p>
        </w:tc>
        <w:tc>
          <w:tcPr>
            <w:tcW w:w="1607" w:type="dxa"/>
            <w:shd w:val="clear" w:color="auto" w:fill="FFFFFF"/>
            <w:vAlign w:val="center"/>
          </w:tcPr>
          <w:p w14:paraId="23700973">
            <w:pPr>
              <w:spacing w:before="0" w:after="0" w:line="420" w:lineRule="auto"/>
              <w:jc w:val="left"/>
            </w:pPr>
            <w:r>
              <w:rPr>
                <w:rFonts w:ascii="Times New Roman" w:hAnsi="Times New Roman" w:eastAsia="宋体"/>
                <w:sz w:val="20"/>
                <w:szCs w:val="20"/>
              </w:rPr>
              <w:t>6.7822</w:t>
            </w:r>
          </w:p>
        </w:tc>
        <w:tc>
          <w:tcPr>
            <w:tcW w:w="1607" w:type="dxa"/>
            <w:shd w:val="clear" w:color="auto" w:fill="FFFFFF"/>
            <w:vAlign w:val="center"/>
          </w:tcPr>
          <w:p w14:paraId="113AE7C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7DC945DC">
            <w:pPr>
              <w:spacing w:before="0" w:after="0" w:line="420" w:lineRule="auto"/>
              <w:jc w:val="left"/>
            </w:pPr>
            <w:r>
              <w:rPr>
                <w:rFonts w:ascii="Times New Roman" w:hAnsi="Times New Roman" w:eastAsia="宋体"/>
                <w:sz w:val="20"/>
                <w:szCs w:val="20"/>
              </w:rPr>
              <w:t>42.0000</w:t>
            </w:r>
          </w:p>
        </w:tc>
      </w:tr>
      <w:tr w14:paraId="329F99BE">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4BAB1704">
            <w:pPr>
              <w:spacing w:before="0" w:after="0" w:line="420" w:lineRule="auto"/>
              <w:jc w:val="left"/>
            </w:pPr>
            <w:r>
              <w:rPr>
                <w:rFonts w:ascii="Times New Roman" w:hAnsi="Times New Roman" w:eastAsia="宋体"/>
                <w:sz w:val="20"/>
                <w:szCs w:val="20"/>
              </w:rPr>
              <w:t>total_chars</w:t>
            </w:r>
          </w:p>
        </w:tc>
        <w:tc>
          <w:tcPr>
            <w:tcW w:w="1607" w:type="dxa"/>
            <w:shd w:val="clear" w:color="auto" w:fill="FFFFFF"/>
            <w:vAlign w:val="center"/>
          </w:tcPr>
          <w:p w14:paraId="3885B312">
            <w:pPr>
              <w:spacing w:before="0" w:after="0" w:line="420" w:lineRule="auto"/>
              <w:jc w:val="left"/>
            </w:pPr>
            <w:r>
              <w:rPr>
                <w:rFonts w:ascii="Times New Roman" w:hAnsi="Times New Roman" w:eastAsia="宋体"/>
                <w:sz w:val="20"/>
                <w:szCs w:val="20"/>
              </w:rPr>
              <w:t>17415.4211</w:t>
            </w:r>
          </w:p>
        </w:tc>
        <w:tc>
          <w:tcPr>
            <w:tcW w:w="1607" w:type="dxa"/>
            <w:shd w:val="clear" w:color="auto" w:fill="FFFFFF"/>
            <w:vAlign w:val="center"/>
          </w:tcPr>
          <w:p w14:paraId="1AE9B750">
            <w:pPr>
              <w:spacing w:before="0" w:after="0" w:line="420" w:lineRule="auto"/>
              <w:jc w:val="left"/>
            </w:pPr>
            <w:r>
              <w:rPr>
                <w:rFonts w:ascii="Times New Roman" w:hAnsi="Times New Roman" w:eastAsia="宋体"/>
                <w:sz w:val="20"/>
                <w:szCs w:val="20"/>
              </w:rPr>
              <w:t>24242.5218</w:t>
            </w:r>
          </w:p>
        </w:tc>
        <w:tc>
          <w:tcPr>
            <w:tcW w:w="1607" w:type="dxa"/>
            <w:shd w:val="clear" w:color="auto" w:fill="FFFFFF"/>
            <w:vAlign w:val="center"/>
          </w:tcPr>
          <w:p w14:paraId="3D72488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0A5CD920">
            <w:pPr>
              <w:spacing w:before="0" w:after="0" w:line="420" w:lineRule="auto"/>
              <w:jc w:val="left"/>
            </w:pPr>
            <w:r>
              <w:rPr>
                <w:rFonts w:ascii="Times New Roman" w:hAnsi="Times New Roman" w:eastAsia="宋体"/>
                <w:sz w:val="20"/>
                <w:szCs w:val="20"/>
              </w:rPr>
              <w:t>166244.0000</w:t>
            </w:r>
          </w:p>
        </w:tc>
      </w:tr>
      <w:tr w14:paraId="0E0A521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7668C5EF">
            <w:pPr>
              <w:spacing w:before="0" w:after="0" w:line="420" w:lineRule="auto"/>
              <w:jc w:val="left"/>
            </w:pPr>
            <w:r>
              <w:rPr>
                <w:rFonts w:ascii="Times New Roman" w:hAnsi="Times New Roman" w:eastAsia="宋体"/>
                <w:sz w:val="20"/>
                <w:szCs w:val="20"/>
              </w:rPr>
              <w:t>total_sentences</w:t>
            </w:r>
          </w:p>
        </w:tc>
        <w:tc>
          <w:tcPr>
            <w:tcW w:w="1607" w:type="dxa"/>
            <w:shd w:val="clear" w:color="auto" w:fill="FFFFFF"/>
            <w:vAlign w:val="center"/>
          </w:tcPr>
          <w:p w14:paraId="0AB1B47E">
            <w:pPr>
              <w:spacing w:before="0" w:after="0" w:line="420" w:lineRule="auto"/>
              <w:jc w:val="left"/>
            </w:pPr>
            <w:r>
              <w:rPr>
                <w:rFonts w:ascii="Times New Roman" w:hAnsi="Times New Roman" w:eastAsia="宋体"/>
                <w:sz w:val="20"/>
                <w:szCs w:val="20"/>
              </w:rPr>
              <w:t>302.2895</w:t>
            </w:r>
          </w:p>
        </w:tc>
        <w:tc>
          <w:tcPr>
            <w:tcW w:w="1607" w:type="dxa"/>
            <w:shd w:val="clear" w:color="auto" w:fill="FFFFFF"/>
            <w:vAlign w:val="center"/>
          </w:tcPr>
          <w:p w14:paraId="3C0062B4">
            <w:pPr>
              <w:spacing w:before="0" w:after="0" w:line="420" w:lineRule="auto"/>
              <w:jc w:val="left"/>
            </w:pPr>
            <w:r>
              <w:rPr>
                <w:rFonts w:ascii="Times New Roman" w:hAnsi="Times New Roman" w:eastAsia="宋体"/>
                <w:sz w:val="20"/>
                <w:szCs w:val="20"/>
              </w:rPr>
              <w:t>434.5629</w:t>
            </w:r>
          </w:p>
        </w:tc>
        <w:tc>
          <w:tcPr>
            <w:tcW w:w="1607" w:type="dxa"/>
            <w:shd w:val="clear" w:color="auto" w:fill="FFFFFF"/>
            <w:vAlign w:val="center"/>
          </w:tcPr>
          <w:p w14:paraId="1D029639">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6516BAF5">
            <w:pPr>
              <w:spacing w:before="0" w:after="0" w:line="420" w:lineRule="auto"/>
              <w:jc w:val="left"/>
            </w:pPr>
            <w:r>
              <w:rPr>
                <w:rFonts w:ascii="Times New Roman" w:hAnsi="Times New Roman" w:eastAsia="宋体"/>
                <w:sz w:val="20"/>
                <w:szCs w:val="20"/>
              </w:rPr>
              <w:t>3147.0000</w:t>
            </w:r>
          </w:p>
        </w:tc>
      </w:tr>
    </w:tbl>
    <w:p w14:paraId="1F977BDF">
      <w:pPr>
        <w:spacing w:before="160" w:after="60" w:line="420" w:lineRule="auto"/>
        <w:jc w:val="left"/>
      </w:pPr>
      <w:r>
        <w:rPr>
          <w:rFonts w:ascii="Times New Roman" w:hAnsi="Times New Roman" w:eastAsia="宋体"/>
          <w:b/>
          <w:sz w:val="28"/>
          <w:szCs w:val="28"/>
        </w:rPr>
        <w:t>附录B 项目级扩展分析补充</w:t>
      </w:r>
    </w:p>
    <w:p w14:paraId="045B131B">
      <w:pPr>
        <w:spacing w:before="100" w:after="40" w:line="420" w:lineRule="auto"/>
        <w:jc w:val="left"/>
      </w:pPr>
      <w:r>
        <w:rPr>
          <w:rFonts w:ascii="Times New Roman" w:hAnsi="Times New Roman" w:eastAsia="宋体"/>
          <w:b/>
          <w:sz w:val="25"/>
          <w:szCs w:val="25"/>
        </w:rPr>
        <w:t>B3 成本收益曲线</w:t>
      </w:r>
    </w:p>
    <w:p w14:paraId="18B045C4">
      <w:pPr>
        <w:spacing w:before="0" w:after="0" w:line="420" w:lineRule="auto"/>
        <w:ind w:firstLine="420"/>
        <w:jc w:val="both"/>
      </w:pPr>
      <w:r>
        <w:rPr>
          <w:rFonts w:ascii="Times New Roman" w:hAnsi="Times New Roman" w:eastAsia="宋体"/>
          <w:sz w:val="24"/>
          <w:szCs w:val="24"/>
        </w:rPr>
        <w: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w:t>
      </w:r>
    </w:p>
    <w:p w14:paraId="2315964B">
      <w:pPr>
        <w:spacing w:before="60" w:after="60" w:line="360" w:lineRule="auto"/>
        <w:jc w:val="center"/>
      </w:pPr>
      <w:r>
        <w:drawing>
          <wp:inline distT="0" distB="0" distL="0" distR="0">
            <wp:extent cx="5577840" cy="2445385"/>
            <wp:effectExtent l="0" t="0" r="0" b="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pic:cNvPicPr>
                  </pic:nvPicPr>
                  <pic:blipFill>
                    <a:blip r:embed="rId15"/>
                    <a:stretch>
                      <a:fillRect/>
                    </a:stretch>
                  </pic:blipFill>
                  <pic:spPr>
                    <a:xfrm>
                      <a:off x="0" y="0"/>
                      <a:ext cx="5577840" cy="2445904"/>
                    </a:xfrm>
                    <a:prstGeom prst="rect">
                      <a:avLst/>
                    </a:prstGeom>
                  </pic:spPr>
                </pic:pic>
              </a:graphicData>
            </a:graphic>
          </wp:inline>
        </w:drawing>
      </w:r>
    </w:p>
    <w:p w14:paraId="66741EB3">
      <w:pPr>
        <w:spacing w:before="0" w:after="60" w:line="420" w:lineRule="auto"/>
        <w:jc w:val="center"/>
      </w:pPr>
      <w:r>
        <w:rPr>
          <w:rFonts w:ascii="Times New Roman" w:hAnsi="Times New Roman" w:eastAsia="宋体"/>
          <w:sz w:val="21"/>
          <w:szCs w:val="21"/>
        </w:rPr>
        <w:t>图B3 不同阈值下的成本收益权衡</w:t>
      </w:r>
    </w:p>
    <w:p w14:paraId="70D7360F">
      <w:pPr>
        <w:spacing w:before="160" w:after="60" w:line="420" w:lineRule="auto"/>
        <w:jc w:val="left"/>
      </w:pPr>
      <w:r>
        <w:rPr>
          <w:rFonts w:ascii="Times New Roman" w:hAnsi="Times New Roman" w:eastAsia="宋体"/>
          <w:b/>
          <w:sz w:val="28"/>
          <w:szCs w:val="28"/>
        </w:rPr>
        <w:t>附录说明</w:t>
      </w:r>
    </w:p>
    <w:p w14:paraId="24D60885">
      <w:pPr>
        <w:spacing w:before="0" w:after="0" w:line="420" w:lineRule="auto"/>
        <w:ind w:firstLine="420"/>
        <w:jc w:val="both"/>
      </w:pPr>
      <w:r>
        <w:rPr>
          <w:rFonts w:ascii="Times New Roman" w:hAnsi="Times New Roman" w:eastAsia="宋体"/>
          <w:sz w:val="24"/>
          <w:szCs w:val="24"/>
        </w:rPr>
        <w:t>1. 本次修订后的正文主表已经重排为表1至表9，所有原先错配的旧表均不再占用正文原表号。</w:t>
      </w:r>
    </w:p>
    <w:p w14:paraId="694775F2">
      <w:pPr>
        <w:spacing w:before="0" w:after="0" w:line="420" w:lineRule="auto"/>
        <w:ind w:firstLine="420"/>
        <w:jc w:val="both"/>
      </w:pPr>
      <w:r>
        <w:rPr>
          <w:rFonts w:ascii="Times New Roman" w:hAnsi="Times New Roman" w:eastAsia="宋体"/>
          <w:sz w:val="24"/>
          <w:szCs w:val="24"/>
        </w:rPr>
        <w:t>2. 原有样本层级、处理年份结构和扩展描述统计等信息被降格并整理到附录表中，不再冒充正文主表。</w:t>
      </w:r>
    </w:p>
    <w:p w14:paraId="75AAD143">
      <w:pPr>
        <w:spacing w:before="0" w:after="0" w:line="420" w:lineRule="auto"/>
        <w:ind w:firstLine="420"/>
        <w:jc w:val="both"/>
      </w:pPr>
      <w:r>
        <w:rPr>
          <w:rFonts w:ascii="Times New Roman" w:hAnsi="Times New Roman" w:eastAsia="宋体"/>
          <w:sz w:val="24"/>
          <w:szCs w:val="24"/>
        </w:rPr>
        <w:t>3. 正文核心图已经调整为研究设计中的文本工程图与双层嵌入图、实证部分的描述性事实图、DID主结果图、动态路径图、稳健性图和项目级扩展识别图；成本收益曲线保留在附录。</w:t>
      </w: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048C3708"/>
    <w:rsid w:val="116021A5"/>
    <w:rsid w:val="1BCD6533"/>
    <w:rsid w:val="1C890801"/>
    <w:rsid w:val="258F714D"/>
    <w:rsid w:val="2873333B"/>
    <w:rsid w:val="2927562A"/>
    <w:rsid w:val="33A37FA3"/>
    <w:rsid w:val="3F6F7935"/>
    <w:rsid w:val="4A0D3F70"/>
    <w:rsid w:val="5C250D3B"/>
    <w:rsid w:val="622A7057"/>
    <w:rsid w:val="674F751F"/>
    <w:rsid w:val="726245AA"/>
    <w:rsid w:val="7E5356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9017</Words>
  <Characters>10084</Characters>
  <TotalTime>8</TotalTime>
  <ScaleCrop>false</ScaleCrop>
  <LinksUpToDate>false</LinksUpToDate>
  <CharactersWithSpaces>10161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2026-04-17T14:57:03Z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