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w="http://schemas.openxmlformats.org/wordprocessingml/2006/main" ns1:Ignorable="w14 w15 wp14">
  <w:body>
    <w:p ns2:paraId="2C1996D8">
      <w:pPr>
        <w:spacing w:before="0" w:after="120" w:line="420" w:lineRule="auto"/>
        <w:jc w:val="center"/>
      </w:pPr>
      <w:r>
        <w:t>政务服务数字化改革如何优化PPP项目推进与治理过程？</w:t>
      </w:r>
    </w:p>
    <w:p ns2:paraId="390DCDE6">
      <w:pPr>
        <w:spacing w:before="0" w:after="100" w:line="420" w:lineRule="auto"/>
        <w:jc w:val="center"/>
      </w:pPr>
      <w:r>
        <w:t>——基于政策文本量化与省级面板评估的证据</w:t>
      </w:r>
    </w:p>
    <w:p ns2:paraId="30403AEF">
      <w:pPr>
        <w:spacing w:before="100" w:after="40" w:line="420" w:lineRule="auto"/>
        <w:jc w:val="left"/>
      </w:pPr>
      <w:r>
        <w:t>摘要</w:t>
      </w:r>
    </w:p>
    <w:p ns2:paraId="06D5E74C">
      <w:pPr>
        <w:spacing w:before="0" w:after="0" w:line="420" w:lineRule="auto"/>
        <w:ind w:firstLine="420"/>
        <w:jc w:val="both"/>
      </w:pPr>
      <w:r>
        <w:t>围绕政务服务数字化改革与PPP治理之间的关系，本文聚焦一个更具公共管理含义而非纯技术含义的问题：数字化改革究竟首先改变了PPP治理链条中的哪类环节。基于地方政府PPP政策文本、统一口径的省级主面板以及项目级风险底表，本文将政策文本量化结果转化为治理能力测度变量，并以treat_share为核心处理变量，采用多期DID/TWFE识别政务服务数字化改革对PPP项目推进结构与治理表现的影响。研究发现，数字化改革最稳定的作用首先体现为项目推进结构优化：执行阶段占比显著上升，采购阶段占比显著下降。相比之下，综合治理质量指标ppp_quality_zindex虽呈正向变化，但统计上不够稳定，不能承担全文主结论。机制分析表明，改革更可能优先作用于数字治理接口、数据协同和前端规范准入等环节，并伴随采购—执行治理维度的阶段性响应，但完整稳定的强中介链条并未建立。进一步的趋势调整型检验和逐省剔除诊断表明，采购阶段占比下降在更严格设定下仍相对稳健，执行阶段占比上升主要体现为方向保持一致但统计强度有所减弱；相较之下，综合治理质量口径在补充检验中仍未形成稳定支持。在严格避免标签泄漏的前提下，项目级高低风险具有中等偏强的可识别性，但这一部分仅构成治理辅助识别的扩展分析，不改变本文以多期DID/TWFE为唯一主识别的研究结构。本文据此认为，数字化改革在PPP领域的现实作用，更接近于改善政府内部协同、前端规范和审批执行衔接，而非即时、全面地提升所有治理质量指标。</w:t>
      </w:r>
    </w:p>
    <w:p ns2:paraId="67752E94">
      <w:pPr>
        <w:spacing w:before="0" w:after="40" w:line="420" w:lineRule="auto"/>
        <w:jc w:val="left"/>
      </w:pPr>
      <w:r>
        <w:t>关键词：数字政府；政务服务数字化改革；PPP治理；政策文本量化；推进结构；风险辅助识别</w:t>
      </w:r>
    </w:p>
    <w:p ns2:paraId="5705B879">
      <w:pPr>
        <w:spacing w:before="160" w:after="60" w:line="420" w:lineRule="auto"/>
        <w:jc w:val="left"/>
      </w:pPr>
      <w:r>
        <w:t>1 引言</w:t>
      </w:r>
    </w:p>
    <w:p ns2:paraId="7EA9AC05">
      <w:pPr>
        <w:spacing w:before="0" w:after="0" w:line="420" w:lineRule="auto"/>
        <w:ind w:firstLine="420"/>
        <w:jc w:val="both"/>
      </w:pPr>
      <w: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ns2:paraId="2AF545B6">
      <w:pPr>
        <w:spacing w:before="0" w:after="0" w:line="420" w:lineRule="auto"/>
        <w:ind w:firstLine="420"/>
        <w:jc w:val="both"/>
      </w:pPr>
      <w:r>
        <w:t>既有研究为理解这一问题提供了三方面基础，但仍存在明显空缺。第一，关于数字政府或数字治理改革的研究，更多关注营商环境、政务效率和企业行为等结果变量，对于PPP这一兼具公共服务供给、政府监管和跨部门协同特征的治理场景，关注仍然不足。第二，关于PPP治理的经验研究，已有工作已经注意到地方治理压力、财政约束和项目推进之间的关系，但对“政府改革如何通过政策执行与流程重构影响PPP推进结构”的解释仍不充分。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至于项目级机器学习识别，已有相关经验更多出现在金融舞弊或企业风险领域，直接移植到PPP并不自然，其适用边界也需要重新界定。</w:t>
      </w:r>
    </w:p>
    <w:p ns2:paraId="07EBD6BC">
      <w:pPr>
        <w:spacing w:before="0" w:after="0" w:line="420" w:lineRule="auto"/>
        <w:ind w:firstLine="420"/>
        <w:jc w:val="both"/>
      </w:pPr>
      <w: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w:t>
      </w:r>
    </w:p>
    <w:p ns2:paraId="51C6C0BD">
      <w:pPr>
        <w:spacing w:before="0" w:after="0" w:line="420" w:lineRule="auto"/>
        <w:ind w:firstLine="420"/>
        <w:jc w:val="both"/>
      </w:pPr>
      <w:r>
        <w:t>本文的经验结果表明，数字化改革最稳固的作用首先表现为PPP推进结构的调整。基准结果显示，treat_share显著提高执行阶段占比，并显著降低采购阶段占比，这一结果在多项常规稳健性和方向一致性检验下保持稳定。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w:t>
      </w:r>
    </w:p>
    <w:p ns2:paraId="72D87E3E">
      <w:pPr>
        <w:spacing w:before="0" w:after="0" w:line="420" w:lineRule="auto"/>
        <w:ind w:firstLine="420"/>
        <w:jc w:val="both"/>
      </w:pPr>
      <w: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ns2:paraId="4943697C">
      <w:pPr>
        <w:spacing w:before="160" w:after="60" w:line="420" w:lineRule="auto"/>
        <w:jc w:val="left"/>
      </w:pPr>
      <w:r>
        <w:t>2 文献综述</w:t>
      </w:r>
    </w:p>
    <w:p ns2:paraId="532AF634">
      <w:pPr>
        <w:spacing w:before="100" w:after="40" w:line="420" w:lineRule="auto"/>
        <w:jc w:val="left"/>
      </w:pPr>
      <w:r>
        <w:t>2.1 数字政府、政策执行与组织协同</w:t>
      </w:r>
    </w:p>
    <w:p ns2:paraId="7B2D6F51">
      <w:pPr>
        <w:spacing w:before="0" w:after="0" w:line="420" w:lineRule="auto"/>
        <w:ind w:firstLine="420"/>
        <w:jc w:val="both"/>
      </w:pPr>
      <w: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w:t>
      </w:r>
    </w:p>
    <w:p ns2:paraId="3A1123CD">
      <w:pPr>
        <w:spacing w:before="0" w:after="0" w:line="420" w:lineRule="auto"/>
        <w:ind w:firstLine="420"/>
        <w:jc w:val="both"/>
      </w:pPr>
      <w: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ns2:paraId="3A1123CD">
      <w:pPr>
        <w:spacing w:before="0" w:after="0" w:line="420" w:lineRule="auto"/>
        <w:ind w:firstLine="420"/>
        <w:jc w:val="both"/>
      </w:pPr>
      <w:r>
        <w: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由此出发，数字化改革在PPP场景下更值得优先考察的，不是所有质量口径是否同步跃升，而是项目推进链条是否首先出现可观测的结构重组。</w:t>
      </w:r>
    </w:p>
    <w:p ns2:paraId="426717FE">
      <w:pPr>
        <w:spacing w:before="100" w:after="40" w:line="420" w:lineRule="auto"/>
        <w:jc w:val="left"/>
      </w:pPr>
      <w:r>
        <w:t>2.2 PPP治理、公共服务供给与项目推进</w:t>
      </w:r>
    </w:p>
    <w:p ns2:paraId="28EF0F58">
      <w:pPr>
        <w:spacing w:before="0" w:after="0" w:line="420" w:lineRule="auto"/>
        <w:ind w:firstLine="420"/>
        <w:jc w:val="both"/>
      </w:pPr>
      <w: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w:t>
      </w:r>
    </w:p>
    <w:p ns2:paraId="158F9385">
      <w:pPr>
        <w:spacing w:before="0" w:after="0" w:line="420" w:lineRule="auto"/>
        <w:ind w:firstLine="420"/>
        <w:jc w:val="both"/>
      </w:pPr>
      <w: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ns2:paraId="158F9385">
      <w:pPr>
        <w:spacing w:before="0" w:after="0" w:line="420" w:lineRule="auto"/>
        <w:ind w:firstLine="420"/>
        <w:jc w:val="both"/>
      </w:pPr>
      <w:r>
        <w: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正因为如此，执行阶段占比和采购阶段占比并不是单纯的生命周期统计，而是地方政府治理能力和政策执行状态的外在窗口。</w:t>
      </w:r>
    </w:p>
    <w:p ns2:paraId="2940264A">
      <w:pPr>
        <w:spacing w:before="100" w:after="40" w:line="420" w:lineRule="auto"/>
        <w:jc w:val="left"/>
      </w:pPr>
      <w:r>
        <w:t>2.3 政策文本量化、治理测度与变量工程</w:t>
      </w:r>
    </w:p>
    <w:p ns2:paraId="0B47B6EC">
      <w:pPr>
        <w:spacing w:before="0" w:after="0" w:line="420" w:lineRule="auto"/>
        <w:ind w:firstLine="420"/>
        <w:jc w:val="both"/>
      </w:pPr>
      <w: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w:t>
      </w:r>
    </w:p>
    <w:p ns2:paraId="61656872">
      <w:pPr>
        <w:spacing w:before="0" w:after="0" w:line="420" w:lineRule="auto"/>
        <w:ind w:firstLine="420"/>
        <w:jc w:val="both"/>
      </w:pPr>
      <w: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ns2:paraId="61656872">
      <w:pPr>
        <w:spacing w:before="0" w:after="0" w:line="420" w:lineRule="auto"/>
        <w:ind w:firstLine="420"/>
        <w:jc w:val="both"/>
      </w:pPr>
      <w:r>
        <w: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w:t>
      </w:r>
    </w:p>
    <w:p ns2:paraId="060D3D1F">
      <w:pPr>
        <w:spacing w:before="100" w:after="40" w:line="420" w:lineRule="auto"/>
        <w:jc w:val="left"/>
      </w:pPr>
      <w:r>
        <w:t>2.4 风险治理与辅助识别的边界</w:t>
      </w:r>
    </w:p>
    <w:p ns2:paraId="615D316D">
      <w:pPr>
        <w:spacing w:before="0" w:after="0" w:line="420" w:lineRule="auto"/>
        <w:ind w:firstLine="420"/>
        <w:jc w:val="both"/>
      </w:pPr>
      <w: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w:t>
      </w:r>
    </w:p>
    <w:p ns2:paraId="70365786">
      <w:pPr>
        <w:spacing w:before="0" w:after="0" w:line="420" w:lineRule="auto"/>
        <w:ind w:firstLine="420"/>
        <w:jc w:val="both"/>
      </w:pPr>
      <w: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ns2:paraId="66567846">
      <w:pPr>
        <w:spacing w:before="0" w:after="0" w:line="420" w:lineRule="auto"/>
        <w:ind w:firstLine="420"/>
        <w:jc w:val="both"/>
      </w:pPr>
      <w:r>
        <w: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对本文而言，这一区分尤为关键：项目级扩展分析的意义在于补充公共治理工具箱，而不在于重写省级面板上的主识别结论。</w:t>
      </w:r>
    </w:p>
    <w:p ns2:paraId="66567846">
      <w:pPr>
        <w:spacing w:before="0" w:after="0" w:line="420" w:lineRule="auto"/>
        <w:ind w:firstLine="420"/>
        <w:jc w:val="both"/>
      </w:pPr>
      <w: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ns2:paraId="6707BDC3">
      <w:pPr>
        <w:spacing w:before="160" w:after="60" w:line="420" w:lineRule="auto"/>
        <w:jc w:val="left"/>
      </w:pPr>
      <w:r>
        <w:t>3 理论分析与研究假设</w:t>
      </w:r>
    </w:p>
    <w:p ns2:paraId="1C9B496D">
      <w:pPr>
        <w:spacing w:before="0" w:after="0" w:line="420" w:lineRule="auto"/>
        <w:ind w:firstLine="420"/>
        <w:jc w:val="both"/>
      </w:pPr>
      <w:r>
        <w: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ns2:paraId="563E5DF9">
      <w:pPr>
        <w:spacing w:before="160" w:after="60" w:line="420" w:lineRule="auto"/>
        <w:jc w:val="left"/>
      </w:pPr>
      <w:r>
        <w:t>3.1 数字化改革、政府协同与PPP推进结构</w:t>
      </w:r>
    </w:p>
    <w:p ns2:paraId="2319931F">
      <w:pPr>
        <w:spacing w:before="0" w:after="0" w:line="420" w:lineRule="auto"/>
        <w:ind w:firstLine="420"/>
        <w:jc w:val="both"/>
      </w:pPr>
      <w:r>
        <w: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w:t>
      </w:r>
    </w:p>
    <w:p ns2:paraId="17069AF5">
      <w:pPr>
        <w:spacing w:before="0" w:after="0" w:line="420" w:lineRule="auto"/>
        <w:ind w:firstLine="420"/>
        <w:jc w:val="both"/>
      </w:pPr>
      <w: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ns2:paraId="1C61CB02">
      <w:pPr>
        <w:spacing w:before="0" w:after="0" w:line="420" w:lineRule="auto"/>
        <w:ind w:firstLine="420"/>
        <w:jc w:val="both"/>
      </w:pPr>
      <w:r>
        <w: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ns2:paraId="2A8A054C">
      <w:pPr>
        <w:spacing w:before="0" w:after="0" w:line="420" w:lineRule="auto"/>
        <w:ind w:firstLine="420"/>
        <w:jc w:val="both"/>
      </w:pPr>
      <w:r>
        <w:t>已有关于PPP项目进程和政策内容的研究表明，前端规范供给、政府目标牵引和项目入库规则往往会优先改变项目在不同阶段之间的转换速度，而不必然立即改善所有质量指标。换言之，数字化改革若通过提升协同效率、压缩程序摩擦和规范准入条件发挥作用，那么最早可见的经验结果更可能是采购、准备与执行阶段之间的结构重组，而不是综合治理质量的同步跃升。</w:t>
      </w:r>
    </w:p>
    <w:p ns2:paraId="587F4C6B">
      <w:pPr>
        <w:spacing w:before="50" w:after="50" w:line="420" w:lineRule="auto"/>
        <w:jc w:val="left"/>
      </w:pPr>
      <w:r>
        <w:t>基于上述分析，本文提出第一个研究假设：</w:t>
      </w:r>
    </w:p>
    <w:p ns2:paraId="496EF862">
      <w:pPr>
        <w:spacing w:before="0" w:after="0" w:line="420" w:lineRule="auto"/>
        <w:ind w:firstLine="420"/>
        <w:jc w:val="both"/>
      </w:pPr>
      <w:r>
        <w:t>假说H1：政务服务数字化改革将优先改善PPP项目的推进结构，具体表现为执行阶段占比上升、采购阶段占比下降。</w:t>
      </w:r>
    </w:p>
    <w:p ns2:paraId="31900A7E">
      <w:pPr>
        <w:spacing w:before="160" w:after="60" w:line="420" w:lineRule="auto"/>
        <w:jc w:val="left"/>
      </w:pPr>
      <w:r>
        <w:t>3.2 接口优先、前端规范先行与阶段性传导</w:t>
      </w:r>
    </w:p>
    <w:p ns2:paraId="67455CD8">
      <w:pPr>
        <w:spacing w:before="0" w:after="0" w:line="420" w:lineRule="auto"/>
        <w:ind w:firstLine="420"/>
        <w:jc w:val="both"/>
      </w:pPr>
      <w: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w:t>
      </w:r>
    </w:p>
    <w:p ns2:paraId="6578DD09">
      <w:pPr>
        <w:spacing w:before="0" w:after="0" w:line="420" w:lineRule="auto"/>
        <w:ind w:firstLine="420"/>
        <w:jc w:val="both"/>
      </w:pPr>
      <w:r>
        <w: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w:t>
      </w:r>
    </w:p>
    <w:p ns2:paraId="49AE620C">
      <w:pPr>
        <w:spacing w:before="0" w:after="0" w:line="420" w:lineRule="auto"/>
        <w:ind w:firstLine="420"/>
        <w:jc w:val="both"/>
      </w:pPr>
      <w:r>
        <w: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w:t>
      </w:r>
    </w:p>
    <w:p ns2:paraId="1DEC935D">
      <w:pPr>
        <w:spacing w:before="0" w:after="0" w:line="420" w:lineRule="auto"/>
        <w:ind w:firstLine="420"/>
        <w:jc w:val="both"/>
      </w:pPr>
      <w: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w:t>
      </w:r>
    </w:p>
    <w:p ns2:paraId="22C0CE5F">
      <w:pPr>
        <w:spacing w:before="0" w:after="0" w:line="420" w:lineRule="auto"/>
        <w:ind w:firstLine="420"/>
        <w:jc w:val="both"/>
      </w:pPr>
      <w:r>
        <w: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w:t>
      </w:r>
    </w:p>
    <w:p ns2:paraId="2E9AB6EF">
      <w:pPr>
        <w:spacing w:before="50" w:after="50" w:line="420" w:lineRule="auto"/>
        <w:jc w:val="left"/>
      </w:pPr>
      <w:r>
        <w:t>基于上述分析，本文提出第二个研究假设：</w:t>
      </w:r>
    </w:p>
    <w:p ns2:paraId="78BA2F7C">
      <w:pPr>
        <w:spacing w:before="0" w:after="0" w:line="420" w:lineRule="auto"/>
        <w:ind w:firstLine="420"/>
        <w:jc w:val="both"/>
      </w:pPr>
      <w:r>
        <w:t>假说H2：政务服务数字化改革将优先强化数字治理接口与前端规范准入相关的治理环境，并通过阶段性传导改善PPP项目推进结构，但完整、稳定的强中介链条未必成立。</w:t>
      </w:r>
    </w:p>
    <w:p ns2:paraId="549CC562">
      <w:pPr>
        <w:spacing w:before="160" w:after="60" w:line="420" w:lineRule="auto"/>
        <w:jc w:val="left"/>
      </w:pPr>
      <w:r>
        <w:t>3.3 项目级风险识别的扩展命题与理论边界</w:t>
      </w:r>
    </w:p>
    <w:p ns2:paraId="4584768D">
      <w:pPr>
        <w:spacing w:before="0" w:after="0" w:line="420" w:lineRule="auto"/>
        <w:ind w:firstLine="420"/>
        <w:jc w:val="both"/>
      </w:pPr>
      <w:r>
        <w: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ns2:paraId="6B908506">
      <w:pPr>
        <w:spacing w:before="0" w:after="0" w:line="420" w:lineRule="auto"/>
        <w:ind w:firstLine="420"/>
        <w:jc w:val="both"/>
      </w:pPr>
      <w: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w:t>
      </w:r>
    </w:p>
    <w:p ns2:paraId="7AFAD483">
      <w:pPr>
        <w:spacing w:before="0" w:after="0" w:line="420" w:lineRule="auto"/>
        <w:ind w:firstLine="420"/>
        <w:jc w:val="both"/>
      </w:pPr>
      <w: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ns2:paraId="7A1D6B8D">
      <w:pPr>
        <w:spacing w:before="0" w:after="0" w:line="420" w:lineRule="auto"/>
        <w:ind w:firstLine="420"/>
        <w:jc w:val="both"/>
      </w:pPr>
      <w: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w:t>
      </w:r>
    </w:p>
    <w:p ns2:paraId="1EF45851">
      <w:pPr>
        <w:spacing w:before="0" w:after="0" w:line="420" w:lineRule="auto"/>
        <w:ind w:firstLine="420"/>
        <w:jc w:val="both"/>
      </w:pPr>
      <w:r>
        <w: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w:t>
      </w:r>
    </w:p>
    <w:p ns2:paraId="1EF45851">
      <w:pPr>
        <w:spacing w:before="0" w:after="0" w:line="420" w:lineRule="auto"/>
        <w:ind w:firstLine="420"/>
        <w:jc w:val="both"/>
      </w:pPr>
      <w:r>
        <w: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ns2:paraId="202B20E1">
      <w:pPr>
        <w:spacing w:before="160" w:after="60" w:line="420" w:lineRule="auto"/>
        <w:jc w:val="left"/>
      </w:pPr>
      <w:r>
        <w:t>4 研究设计</w:t>
      </w:r>
    </w:p>
    <w:p ns2:paraId="107004AD">
      <w:pPr>
        <w:spacing w:before="100" w:after="40" w:line="420" w:lineRule="auto"/>
        <w:jc w:val="left"/>
      </w:pPr>
      <w:r>
        <w:t>4.1 数据来源与样本结构</w:t>
      </w:r>
    </w:p>
    <w:p ns2:paraId="50857982">
      <w:pPr>
        <w:spacing w:before="0" w:after="0" w:line="420" w:lineRule="auto"/>
        <w:ind w:firstLine="420"/>
        <w:jc w:val="both"/>
      </w:pPr>
      <w: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ns2:paraId="70C32763">
      <w:pPr>
        <w:spacing w:before="0" w:after="0" w:line="420" w:lineRule="auto"/>
        <w:ind w:firstLine="420"/>
        <w:jc w:val="both"/>
      </w:pPr>
      <w:r>
        <w: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w:t>
      </w:r>
    </w:p>
    <w:p ns2:paraId="78B5B591">
      <w:pPr>
        <w:spacing w:before="0" w:after="40" w:line="420" w:lineRule="auto"/>
        <w:jc w:val="center"/>
      </w:pPr>
      <w:r>
        <w: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w:t>
      </w:r>
    </w:p>
    <w:p ns2:paraId="7BA7EC6B">
      <w:r>
        <w:t>Panel A 年度分布与层级结构</w:t>
      </w:r>
    </w:p>
    <w:tbl>
      <w:tblPr>
        <w:tblStyle w:val="2"/>
        <w:tblW w:w="88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96"/>
        <w:gridCol w:w="1007"/>
        <w:gridCol w:w="1233"/>
        <w:gridCol w:w="1233"/>
        <w:gridCol w:w="1007"/>
        <w:gridCol w:w="2102"/>
        <w:gridCol w:w="1233"/>
      </w:tblGrid>
      <w:tr ns2:paraId="64CBCBB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96" w:type="dxa"/>
            <w:tcBorders>
              <w:top w:val="single" w:color="000000" w:sz="12" w:space="0"/>
              <w:left w:val="nil"/>
              <w:bottom w:val="single" w:color="000000" w:sz="4" w:space="0"/>
              <w:right w:val="nil"/>
              <w:tl2br w:val="nil"/>
            </w:tcBorders>
            <w:shd w:val="clear" w:color="auto" w:fill="FFFFFF"/>
            <w:noWrap w:val="0"/>
            <w:tcMar>
              <w:top w:w="40" w:type="dxa"/>
              <w:left w:w="50" w:type="dxa"/>
              <w:bottom w:w="40" w:type="dxa"/>
              <w:right w:w="50" w:type="dxa"/>
            </w:tcMar>
            <w:vAlign w:val="center"/>
          </w:tcPr>
          <w:p ns2:paraId="541593D2">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年份</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7671D5B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文本总数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44BC68E7">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中央文本数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289DFFF6">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地方文本数</w:t>
            </w:r>
          </w:p>
        </w:tc>
        <w:tc>
          <w:tcPr>
            <w:tcW w:w="0" w:type="auto"/>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4FF978F4">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总字符数</w:t>
            </w:r>
          </w:p>
        </w:tc>
        <w:tc>
          <w:tcPr>
            <w:tcW w:w="2102"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38DBB260">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平均篇幅（字符）</w:t>
            </w:r>
          </w:p>
        </w:tc>
        <w:tc>
          <w:tcPr>
            <w:tcW w:w="1233" w:type="dxa"/>
            <w:tcBorders>
              <w:top w:val="single" w:color="000000" w:sz="12" w:space="0"/>
              <w:left w:val="nil"/>
              <w:bottom w:val="single" w:color="000000" w:sz="4" w:space="0"/>
              <w:right w:val="nil"/>
            </w:tcBorders>
            <w:shd w:val="clear" w:color="auto" w:fill="FFFFFF"/>
            <w:noWrap w:val="0"/>
            <w:tcMar>
              <w:top w:w="40" w:type="dxa"/>
              <w:left w:w="50" w:type="dxa"/>
              <w:bottom w:w="40" w:type="dxa"/>
              <w:right w:w="50" w:type="dxa"/>
            </w:tcMar>
            <w:vAlign w:val="center"/>
          </w:tcPr>
          <w:p ns2:paraId="2625055A">
            <w:pPr>
              <w:snapToGrid w:val="0"/>
              <w:spacing w:before="0" w:after="0" w:line="240" w:lineRule="auto"/>
              <w:ind w:left="0" w:leftChars="0" w:right="0" w:rightChars="0" w:firstLine="0" w:firstLineChars="0"/>
              <w:jc w:val="center"/>
              <w:rPr>
                <w:rFonts w:hint="eastAsia" w:ascii="宋体" w:hAnsi="宋体" w:eastAsia="宋体" w:cs="宋体"/>
                <w:b/>
                <w:color w:val="000000"/>
                <w:sz w:val="22"/>
                <w:szCs w:val="22"/>
              </w:rPr>
            </w:pPr>
            <w:r>
              <w:rPr>
                <w:rFonts w:hint="eastAsia" w:ascii="宋体" w:hAnsi="宋体" w:eastAsia="宋体" w:cs="宋体"/>
                <w:b/>
                <w:color w:val="000000"/>
                <w:sz w:val="22"/>
                <w:szCs w:val="22"/>
              </w:rPr>
              <w:t>平均句子数</w:t>
            </w:r>
          </w:p>
        </w:tc>
      </w:tr>
      <w:tr ns2:paraId="7138F5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2465882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2014</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2135BD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658B4E4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0119ABD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0AD2C9F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88,130</w:t>
            </w:r>
          </w:p>
        </w:tc>
        <w:tc>
          <w:tcPr>
            <w:tcW w:w="2102"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69C72A3D">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3,525.20</w:t>
            </w:r>
          </w:p>
        </w:tc>
        <w:tc>
          <w:tcPr>
            <w:tcW w:w="1233" w:type="dxa"/>
            <w:tcBorders>
              <w:top w:val="single" w:color="000000" w:sz="4" w:space="0"/>
              <w:left w:val="nil"/>
              <w:bottom w:val="nil"/>
              <w:right w:val="nil"/>
            </w:tcBorders>
            <w:shd w:val="clear" w:color="auto" w:fill="FFFFFF"/>
            <w:noWrap w:val="0"/>
            <w:tcMar>
              <w:top w:w="40" w:type="dxa"/>
              <w:left w:w="50" w:type="dxa"/>
              <w:bottom w:w="40" w:type="dxa"/>
              <w:right w:w="50" w:type="dxa"/>
            </w:tcMar>
            <w:vAlign w:val="center"/>
          </w:tcPr>
          <w:p ns2:paraId="5AFA6FA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64.52</w:t>
            </w:r>
          </w:p>
        </w:tc>
      </w:tr>
      <w:tr ns2:paraId="40522B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594837B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0D4115C">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547AAE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120A09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CACA49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1,167,069</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6824601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3,422.49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09864F5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62.29</w:t>
            </w:r>
          </w:p>
        </w:tc>
      </w:tr>
      <w:tr ns2:paraId="4945B00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659143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0B567F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302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8D2AA3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6B474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582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1,127,167</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22F769E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3,732.34</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E9BA88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65.32</w:t>
            </w:r>
          </w:p>
        </w:tc>
      </w:tr>
      <w:tr ns2:paraId="70E3B07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3EF9D8E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C6A33B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F4853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190CAC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297</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796DA1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1,203,030</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4A6216B">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3,724.55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E16EA7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62.82</w:t>
            </w:r>
          </w:p>
        </w:tc>
      </w:tr>
      <w:tr ns2:paraId="5C0FC80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7FA9EDD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39178E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140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34364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5D5BE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0E185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543,578</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3788B1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3,882.70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02281B7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61.89</w:t>
            </w:r>
          </w:p>
        </w:tc>
      </w:tr>
      <w:tr ns2:paraId="288CC0F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1ADCC71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29CE522">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5B0088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67E26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A73AFB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256,981</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3EA57EB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3,953.55</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012FE5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68.43</w:t>
            </w:r>
          </w:p>
        </w:tc>
      </w:tr>
      <w:tr ns2:paraId="369F6D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033AF82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64ADF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90D860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D8FDCF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84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28E4F0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291,202</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75567893">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3,271.93</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B55D6B0">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47.47</w:t>
            </w:r>
          </w:p>
        </w:tc>
      </w:tr>
      <w:tr ns2:paraId="1108608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0A42C98B">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41ADD1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81CF05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B32DA2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6BBDD3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217,655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6ED515C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3,627.58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6C53FE31">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62.75</w:t>
            </w:r>
          </w:p>
        </w:tc>
      </w:tr>
      <w:tr ns2:paraId="48157CF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50747BC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BB3C02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A8A200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A85E33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E48E288">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190,596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208640B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3,403.50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D42A5E9">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52.93</w:t>
            </w:r>
          </w:p>
        </w:tc>
      </w:tr>
      <w:tr ns2:paraId="4D8E4B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66C916A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F468FC9">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DCBE5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7E4968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131C214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66,766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1FF84F3F">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3,514.00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3FB2D9C5">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53.16</w:t>
            </w:r>
          </w:p>
        </w:tc>
      </w:tr>
      <w:tr ns2:paraId="49E048D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281C606D">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3453ABB7">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29</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D9376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70008EB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C3F7EF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59,873</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99551A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2,064.59</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24BA003E">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12.45</w:t>
            </w:r>
          </w:p>
        </w:tc>
      </w:tr>
      <w:tr ns2:paraId="43F19C2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39FEE580">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2025</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D6427B4">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3CEA9AE">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4</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637655FA">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6</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2BA1C51">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097E9B98">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3,181.50</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73D35052">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58.50</w:t>
            </w:r>
          </w:p>
        </w:tc>
      </w:tr>
      <w:tr ns2:paraId="68063B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nil"/>
              <w:right w:val="nil"/>
            </w:tcBorders>
            <w:shd w:val="clear" w:color="auto" w:fill="FFFFFF"/>
            <w:noWrap w:val="0"/>
            <w:tcMar>
              <w:top w:w="40" w:type="dxa"/>
              <w:left w:w="50" w:type="dxa"/>
              <w:bottom w:w="40" w:type="dxa"/>
              <w:right w:w="50" w:type="dxa"/>
            </w:tcMar>
            <w:vAlign w:val="center"/>
          </w:tcPr>
          <w:p ns2:paraId="2D39FC9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无年份</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09945A0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4B27CEAF">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0</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2DA22775">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13</w:t>
            </w:r>
          </w:p>
        </w:tc>
        <w:tc>
          <w:tcPr>
            <w:tcW w:w="0" w:type="auto"/>
            <w:tcBorders>
              <w:top w:val="nil"/>
              <w:left w:val="nil"/>
              <w:bottom w:val="nil"/>
              <w:right w:val="nil"/>
            </w:tcBorders>
            <w:shd w:val="clear" w:color="auto" w:fill="FFFFFF"/>
            <w:noWrap w:val="0"/>
            <w:tcMar>
              <w:top w:w="40" w:type="dxa"/>
              <w:left w:w="50" w:type="dxa"/>
              <w:bottom w:w="40" w:type="dxa"/>
              <w:right w:w="50" w:type="dxa"/>
            </w:tcMar>
            <w:vAlign w:val="center"/>
          </w:tcPr>
          <w:p ns2:paraId="56316E46">
            <w:pPr>
              <w:snapToGrid w:val="0"/>
              <w:spacing w:before="0" w:after="0" w:line="240" w:lineRule="auto"/>
              <w:ind w:left="0" w:leftChars="0" w:right="0" w:rightChars="0" w:firstLine="0" w:firstLineChars="0"/>
              <w:jc w:val="center"/>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28,956</w:t>
            </w:r>
          </w:p>
        </w:tc>
        <w:tc>
          <w:tcPr>
            <w:tcW w:w="2102" w:type="dxa"/>
            <w:tcBorders>
              <w:top w:val="nil"/>
              <w:left w:val="nil"/>
              <w:bottom w:val="nil"/>
              <w:right w:val="nil"/>
            </w:tcBorders>
            <w:shd w:val="clear" w:color="auto" w:fill="FFFFFF"/>
            <w:noWrap w:val="0"/>
            <w:tcMar>
              <w:top w:w="40" w:type="dxa"/>
              <w:left w:w="50" w:type="dxa"/>
              <w:bottom w:w="40" w:type="dxa"/>
              <w:right w:w="50" w:type="dxa"/>
            </w:tcMar>
            <w:vAlign w:val="center"/>
          </w:tcPr>
          <w:p ns2:paraId="5F293574">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2,227.38</w:t>
            </w:r>
          </w:p>
        </w:tc>
        <w:tc>
          <w:tcPr>
            <w:tcW w:w="1233" w:type="dxa"/>
            <w:tcBorders>
              <w:top w:val="nil"/>
              <w:left w:val="nil"/>
              <w:bottom w:val="nil"/>
              <w:right w:val="nil"/>
            </w:tcBorders>
            <w:shd w:val="clear" w:color="auto" w:fill="FFFFFF"/>
            <w:noWrap w:val="0"/>
            <w:tcMar>
              <w:top w:w="40" w:type="dxa"/>
              <w:left w:w="50" w:type="dxa"/>
              <w:bottom w:w="40" w:type="dxa"/>
              <w:right w:w="50" w:type="dxa"/>
            </w:tcMar>
            <w:vAlign w:val="center"/>
          </w:tcPr>
          <w:p ns2:paraId="1897307C">
            <w:pPr>
              <w:snapToGrid w:val="0"/>
              <w:spacing w:before="0" w:after="0" w:line="240" w:lineRule="auto"/>
              <w:ind w:left="0" w:leftChars="0" w:right="0" w:rightChars="0" w:firstLine="0" w:firstLineChars="0"/>
              <w:jc w:val="right"/>
              <w:rPr>
                <w:rFonts w:hint="default" w:ascii="Times New Roman" w:hAnsi="Times New Roman" w:eastAsia="宋体" w:cs="Times New Roman"/>
                <w:b w:val="0"/>
                <w:color w:val="000000"/>
                <w:sz w:val="22"/>
                <w:szCs w:val="22"/>
              </w:rPr>
            </w:pPr>
            <w:r>
              <w:rPr>
                <w:rFonts w:hint="default" w:ascii="Times New Roman" w:hAnsi="Times New Roman" w:eastAsia="宋体" w:cs="Times New Roman"/>
                <w:b w:val="0"/>
                <w:color w:val="000000"/>
                <w:sz w:val="22"/>
                <w:szCs w:val="22"/>
              </w:rPr>
              <w:t>37.08</w:t>
            </w:r>
          </w:p>
        </w:tc>
      </w:tr>
      <w:tr ns2:paraId="162BEB6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96"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59CA552">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合计</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7570E11">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1,472</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229D2D54">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105</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414003FD">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1,367</w:t>
            </w:r>
          </w:p>
        </w:tc>
        <w:tc>
          <w:tcPr>
            <w:tcW w:w="1007"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29E23B98">
            <w:pPr>
              <w:snapToGrid w:val="0"/>
              <w:spacing w:before="0" w:after="0" w:line="240" w:lineRule="auto"/>
              <w:ind w:left="0" w:leftChars="0" w:right="0" w:rightChars="0" w:firstLine="0" w:firstLineChars="0"/>
              <w:jc w:val="center"/>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5,272,818</w:t>
            </w:r>
          </w:p>
        </w:tc>
        <w:tc>
          <w:tcPr>
            <w:tcW w:w="2102"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57F5A3A5">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3,582.08</w:t>
            </w:r>
          </w:p>
        </w:tc>
        <w:tc>
          <w:tcPr>
            <w:tcW w:w="1233" w:type="dxa"/>
            <w:tcBorders>
              <w:top w:val="nil"/>
              <w:left w:val="nil"/>
              <w:bottom w:val="single" w:color="000000" w:sz="12" w:space="0"/>
              <w:right w:val="nil"/>
            </w:tcBorders>
            <w:shd w:val="clear" w:color="auto" w:fill="FFFFFF"/>
            <w:noWrap w:val="0"/>
            <w:tcMar>
              <w:top w:w="40" w:type="dxa"/>
              <w:left w:w="50" w:type="dxa"/>
              <w:bottom w:w="40" w:type="dxa"/>
              <w:right w:w="50" w:type="dxa"/>
            </w:tcMar>
            <w:vAlign w:val="center"/>
          </w:tcPr>
          <w:p ns2:paraId="7CBCE16B">
            <w:pPr>
              <w:snapToGrid w:val="0"/>
              <w:spacing w:before="0" w:after="0" w:line="240" w:lineRule="auto"/>
              <w:ind w:left="0" w:leftChars="0" w:right="0" w:rightChars="0" w:firstLine="0" w:firstLineChars="0"/>
              <w:jc w:val="right"/>
              <w:rPr>
                <w:rFonts w:hint="default" w:ascii="Times New Roman" w:hAnsi="Times New Roman" w:eastAsia="宋体" w:cs="Times New Roman"/>
                <w:b/>
                <w:color w:val="000000"/>
                <w:sz w:val="22"/>
                <w:szCs w:val="22"/>
              </w:rPr>
            </w:pPr>
            <w:r>
              <w:rPr>
                <w:rFonts w:hint="default" w:ascii="Times New Roman" w:hAnsi="Times New Roman" w:eastAsia="宋体" w:cs="Times New Roman"/>
                <w:b/>
                <w:color w:val="000000"/>
                <w:sz w:val="22"/>
                <w:szCs w:val="22"/>
              </w:rPr>
              <w:t>60.72</w:t>
            </w:r>
          </w:p>
        </w:tc>
      </w:tr>
    </w:tbl>
    <w:p ns2:paraId="127EC8B6">
      <w:pPr>
        <w:spacing w:before="0" w:after="0" w:line="420" w:lineRule="auto"/>
        <w:ind w:firstLine="420"/>
        <w:jc w:val="both"/>
      </w:pPr>
      <w:r>
        <w: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w:t>
      </w:r>
    </w:p>
    <w:p ns2:paraId="5150231C">
      <w:pPr>
        <w:spacing w:before="0" w:after="0" w:line="420" w:lineRule="auto"/>
        <w:ind w:firstLine="420"/>
        <w:jc w:val="both"/>
      </w:pPr>
    </w:p>
    <w:p ns2:paraId="58190B4F">
      <w:pPr>
        <w:spacing w:before="0" w:after="0" w:line="420" w:lineRule="auto"/>
        <w:ind w:firstLine="420"/>
        <w:jc w:val="both"/>
      </w:pPr>
    </w:p>
    <w:p ns2:paraId="5C8689EA">
      <w:pPr>
        <w:spacing w:before="0" w:after="0" w:line="420" w:lineRule="auto"/>
        <w:ind w:firstLine="420"/>
        <w:jc w:val="both"/>
      </w:pPr>
    </w:p>
    <w:p ns2:paraId="57E31665">
      <w:pPr>
        <w:spacing w:before="0" w:after="0" w:line="420" w:lineRule="auto"/>
        <w:ind w:firstLine="420"/>
        <w:jc w:val="both"/>
      </w:pPr>
    </w:p>
    <w:p ns2:paraId="4D6F8E3C">
      <w:pPr>
        <w:spacing w:before="0" w:after="0" w:line="420" w:lineRule="auto"/>
        <w:ind w:firstLine="420"/>
        <w:jc w:val="both"/>
      </w:pPr>
    </w:p>
    <w:p ns2:paraId="12316BE1">
      <w:pPr>
        <w:spacing w:before="0" w:after="0" w:line="420" w:lineRule="auto"/>
        <w:ind w:firstLine="420"/>
        <w:jc w:val="both"/>
      </w:pPr>
    </w:p>
    <w:p ns2:paraId="6DA916B7">
      <w:pPr>
        <w:spacing w:before="0" w:after="0" w:line="420" w:lineRule="auto"/>
        <w:ind w:firstLine="420"/>
        <w:jc w:val="both"/>
      </w:pPr>
    </w:p>
    <w:p ns2:paraId="75152F6C">
      <w:pPr>
        <w:spacing w:before="0" w:after="0" w:line="420" w:lineRule="auto"/>
        <w:ind w:firstLine="420"/>
        <w:jc w:val="both"/>
      </w:pPr>
    </w:p>
    <w:p ns2:paraId="1ECABF05">
      <w:pPr>
        <w:spacing w:before="0" w:after="0" w:line="420" w:lineRule="auto"/>
        <w:ind w:firstLine="420"/>
        <w:jc w:val="both"/>
      </w:pPr>
    </w:p>
    <w:p ns2:paraId="45FA0671">
      <w:pPr>
        <w:spacing w:before="0" w:after="0" w:line="420" w:lineRule="auto"/>
        <w:ind w:firstLine="420"/>
        <w:jc w:val="both"/>
      </w:pPr>
    </w:p>
    <w:p ns2:paraId="1A3B8C3A">
      <w:pPr>
        <w:spacing w:before="0" w:after="0" w:line="420" w:lineRule="auto"/>
        <w:ind w:firstLine="420"/>
        <w:jc w:val="both"/>
      </w:pPr>
    </w:p>
    <w:p ns2:paraId="7BA403B2">
      <w:pPr>
        <w:spacing w:before="0" w:after="0" w:line="420" w:lineRule="auto"/>
        <w:ind w:firstLine="420"/>
        <w:jc w:val="both"/>
      </w:pPr>
    </w:p>
    <w:p ns2:paraId="3F4B0680">
      <w:pPr>
        <w:spacing w:before="0" w:after="0" w:line="420" w:lineRule="auto"/>
        <w:ind w:firstLine="420"/>
        <w:jc w:val="both"/>
      </w:pPr>
    </w:p>
    <w:p ns2:paraId="4FE3E300">
      <w:pPr>
        <w:spacing w:before="0" w:after="0" w:line="420" w:lineRule="auto"/>
        <w:ind w:firstLine="420"/>
        <w:jc w:val="both"/>
      </w:pPr>
    </w:p>
    <w:p ns2:paraId="316B083A">
      <w:pPr>
        <w:spacing w:before="0" w:after="0" w:line="420" w:lineRule="auto"/>
        <w:ind w:firstLine="420"/>
        <w:jc w:val="both"/>
      </w:pPr>
    </w:p>
    <w:p ns2:paraId="4BB0B8C1">
      <w:pPr>
        <w:spacing w:before="0" w:after="0" w:line="420" w:lineRule="auto"/>
        <w:ind w:firstLine="420"/>
        <w:jc w:val="both"/>
      </w:pPr>
    </w:p>
    <w:p ns2:paraId="5F72921B">
      <w:pPr>
        <w:spacing w:before="0" w:after="0" w:line="420" w:lineRule="auto"/>
        <w:ind w:firstLine="420"/>
        <w:jc w:val="both"/>
      </w:pPr>
    </w:p>
    <w:p ns2:paraId="7F4EB822">
      <w:pPr>
        <w:spacing w:before="0" w:after="0" w:line="420" w:lineRule="auto"/>
        <w:ind w:firstLine="420"/>
        <w:jc w:val="both"/>
      </w:pPr>
    </w:p>
    <w:p ns2:paraId="0095DCF9">
      <w:pPr>
        <w:spacing w:before="0" w:after="0" w:line="420" w:lineRule="auto"/>
        <w:ind w:firstLine="420"/>
        <w:jc w:val="both"/>
      </w:pPr>
    </w:p>
    <w:p ns2:paraId="75BD4D39">
      <w:pPr>
        <w:spacing w:before="0" w:after="0" w:line="420" w:lineRule="auto"/>
        <w:ind w:firstLine="420"/>
        <w:jc w:val="both"/>
      </w:pPr>
    </w:p>
    <w:p ns2:paraId="31405C7C">
      <w:pPr>
        <w:spacing w:before="0" w:after="0" w:line="420" w:lineRule="auto"/>
        <w:ind w:firstLine="420"/>
        <w:jc w:val="both"/>
      </w:pPr>
    </w:p>
    <w:p ns2:paraId="51FC0AF5">
      <w:pPr>
        <w:spacing w:before="0" w:after="0" w:line="420" w:lineRule="auto"/>
        <w:ind w:firstLine="420"/>
        <w:jc w:val="both"/>
      </w:pPr>
    </w:p>
    <w:p ns2:paraId="1D58A06F">
      <w:pPr>
        <w:spacing w:before="0" w:after="40" w:line="420" w:lineRule="auto"/>
        <w:jc w:val="center"/>
      </w:pPr>
      <w:r>
        <w: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w:t>
      </w:r>
    </w:p>
    <w:tbl>
      <w:tblPr>
        <w:tblStyle w:val="2"/>
        <w:tblW w:w="918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609"/>
        <w:gridCol w:w="1521"/>
        <w:gridCol w:w="1516"/>
        <w:gridCol w:w="1512"/>
        <w:gridCol w:w="1516"/>
        <w:gridCol w:w="1512"/>
      </w:tblGrid>
      <w:tr ns2:paraId="5E484CC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531"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0A97EA38">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项目/变量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76C3A8F">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均值或数量</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2127766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标准差</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7E1CE9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最小值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6145E2D">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最大值</w:t>
            </w:r>
          </w:p>
        </w:tc>
        <w:tc>
          <w:tcPr>
            <w:tcW w:w="1531"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085EFB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说明</w:t>
            </w:r>
          </w:p>
        </w:tc>
      </w:tr>
      <w:tr ns2:paraId="6686098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D601BB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样本期</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297B7E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2014—2022</w:t>
            </w: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AB089CF">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36E9F5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E382A48">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DF0CF3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V3主面板覆盖区间</w:t>
            </w:r>
          </w:p>
        </w:tc>
      </w:tr>
      <w:tr ns2:paraId="31BD0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52FD05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地区单元数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860B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32</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F58468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1643383">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02A5764">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6621CA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主面板地区数</w:t>
            </w:r>
          </w:p>
        </w:tc>
      </w:tr>
      <w:tr ns2:paraId="7EB4863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C68F17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正式回归地区数</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CDFA01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B0675C5">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5392A86">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C077BE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55BC79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表4有效地区数</w:t>
            </w:r>
          </w:p>
        </w:tc>
      </w:tr>
      <w:tr ns2:paraId="21AE468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817C1F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AF0240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DDF57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0F6B66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8F2FA60">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23D999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主要处理批次</w:t>
            </w:r>
          </w:p>
        </w:tc>
      </w:tr>
      <w:tr ns2:paraId="0ACB55C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25C234">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首次处理年：2017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78043AE">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E3AAE17">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75726A8">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450982">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D8501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少量后续进入处理</w:t>
            </w:r>
          </w:p>
        </w:tc>
      </w:tr>
      <w:tr ns2:paraId="2AD1BF5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F3CA23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Never-treated地区</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C4800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4265EB9">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016CB2C">
            <w:pPr>
              <w:snapToGrid w:val="0"/>
              <w:spacing w:before="0" w:after="0" w:line="240" w:lineRule="auto"/>
              <w:ind w:left="0" w:leftChars="0" w:right="0" w:rightChars="0" w:firstLine="0" w:firstLineChars="0"/>
              <w:jc w:val="center"/>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468D2CB">
            <w:pPr>
              <w:snapToGrid w:val="0"/>
              <w:spacing w:before="0" w:after="0" w:line="240" w:lineRule="auto"/>
              <w:ind w:left="0" w:leftChars="0" w:right="0" w:rightChars="0" w:firstLine="0" w:firstLineChars="0"/>
              <w:jc w:val="right"/>
              <w:rPr>
                <w:rFonts w:ascii="Times New Roman" w:eastAsia="宋体"/>
                <w:b w:val="0"/>
                <w:color w:val="000000"/>
                <w:sz w:val="20"/>
              </w:rPr>
            </w:pP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F9F03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用于DID对照基准</w:t>
            </w:r>
          </w:p>
        </w:tc>
      </w:tr>
      <w:tr ns2:paraId="74399C5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70D7A4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treat_share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675C2D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0.3008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BBD490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0.2793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910816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3059E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A6CC9B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982E28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90ECC1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did_any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51F9DF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6E23DC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0.4561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1DC501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7B2585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238B8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94D235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D63F80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did_intensity</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E94C67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0.2371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C358F0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0.2803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321D5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965891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3D7B23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BB259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2786A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exec_share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7647CB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0.7061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E4F40C2">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0.3413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035F65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4C89E42">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2699B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329873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EE285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proc_share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A4F484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0.2794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C4A072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0.3440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557AD1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1F3C6B">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1.0000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6D0526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99AD2E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C93BF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prep_share</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2D1775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0.0145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76CCF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0.0386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6EE124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5C79F78">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0.3333</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A7CD817">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7C7BF34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C477A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29D638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0.0055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972555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0.4648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B86300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-2.8557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4E8852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0.4246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C9FED75">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5F26F5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F1220F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B60CD9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27.5498</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26A3D2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53.1080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C49B2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6D756754">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505.6180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297326F">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10626E7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D686A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01DA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52.2510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379E87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53.6970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0EECA6C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1B0E2B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363.2887</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CC408A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4A44DF8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1049F30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C_idx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0EB3F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143.9109</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AB0A81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106.9286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99CBC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0096C4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380.7391</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7443F6">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74CB22D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71C6C2E9">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D_idx</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551D2C8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29.5266</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201A867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34.6515</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378C7A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4640DE93">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384.6154</w:t>
            </w:r>
          </w:p>
        </w:tc>
        <w:tc>
          <w:tcPr>
            <w:tcW w:w="1531" w:type="dxa"/>
            <w:tcBorders>
              <w:top w:val="nil"/>
              <w:left w:val="nil"/>
              <w:bottom w:val="nil"/>
              <w:right w:val="nil"/>
            </w:tcBorders>
            <w:shd w:val="clear" w:color="auto" w:fill="FFFFFF"/>
            <w:noWrap w:val="0"/>
            <w:tcMar>
              <w:top w:w="-1" w:type="dxa"/>
              <w:left w:w="-1" w:type="dxa"/>
              <w:bottom w:w="-1" w:type="dxa"/>
              <w:right w:w="-1" w:type="dxa"/>
            </w:tcMar>
            <w:vAlign w:val="center"/>
          </w:tcPr>
          <w:p ns2:paraId="33D75F2E">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r ns2:paraId="06B866D9">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BEB454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doc_count</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2570C62">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4.9023</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1529DD6">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6.7822</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FC8FF38">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0.0000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C6AA5D1">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42.0000</w:t>
            </w:r>
          </w:p>
        </w:tc>
        <w:tc>
          <w:tcPr>
            <w:tcW w:w="1531"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05470AD">
            <w:pPr>
              <w:snapToGrid w:val="0"/>
              <w:spacing w:before="0" w:after="0" w:line="240" w:lineRule="auto"/>
              <w:ind w:left="0" w:leftChars="0" w:right="0" w:rightChars="0" w:firstLine="0" w:firstLineChars="0"/>
              <w:jc w:val="right"/>
              <w:rPr>
                <w:rFonts w:ascii="Times New Roman" w:eastAsia="宋体"/>
                <w:b w:val="0"/>
                <w:color w:val="000000"/>
                <w:sz w:val="20"/>
              </w:rPr>
            </w:pPr>
            <w:r>
              <w:rPr>
                <w:rFonts w:ascii="Times New Roman" w:hAnsi="Times New Roman" w:eastAsia="宋体"/>
                <w:b w:val="0"/>
                <w:color w:val="000000"/>
                <w:sz w:val="20"/>
                <w:szCs w:val="20"/>
              </w:rPr>
              <w:t>N=266</w:t>
            </w:r>
          </w:p>
        </w:tc>
      </w:tr>
    </w:tbl>
    <w:p ns2:paraId="68357A71">
      <w:pPr>
        <w:spacing w:before="100" w:after="40" w:line="420" w:lineRule="auto"/>
        <w:jc w:val="left"/>
      </w:pPr>
      <w:r>
        <w:t>4.2 文本分析与变量落地</w:t>
      </w:r>
    </w:p>
    <w:p ns2:paraId="61F65DEB">
      <w:pPr>
        <w:spacing w:before="0" w:after="0" w:line="420" w:lineRule="auto"/>
        <w:ind w:firstLine="420"/>
        <w:jc w:val="both"/>
      </w:pPr>
      <w: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w:t>
      </w:r>
    </w:p>
    <w:p ns2:paraId="52911E8E">
      <w:pPr>
        <w:spacing w:before="0" w:after="0" w:line="420" w:lineRule="auto"/>
        <w:ind w:firstLine="420"/>
        <w:jc w:val="both"/>
      </w:pPr>
      <w:r>
        <w: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w:t>
      </w:r>
    </w:p>
    <w:p ns2:paraId="75C7868A">
      <w:pPr>
        <w:spacing w:before="0" w:after="0" w:line="420" w:lineRule="auto"/>
        <w:ind w:firstLine="420"/>
        <w:jc w:val="both"/>
      </w:pPr>
    </w:p>
    <w:p ns2:paraId="112EFDEB">
      <w:pPr>
        <w:spacing w:before="0" w:after="0" w:line="420" w:lineRule="auto"/>
        <w:ind w:firstLine="420"/>
        <w:jc w:val="both"/>
      </w:pPr>
    </w:p>
    <w:p ns2:paraId="66029298">
      <w:pPr>
        <w:spacing w:before="0" w:after="0" w:line="420" w:lineRule="auto"/>
        <w:ind w:firstLine="420"/>
        <w:jc w:val="both"/>
      </w:pPr>
    </w:p>
    <w:p ns2:paraId="4127FEE5">
      <w:pPr>
        <w:spacing w:before="0" w:after="0" w:line="420" w:lineRule="auto"/>
        <w:ind w:firstLine="420"/>
        <w:jc w:val="both"/>
      </w:pPr>
    </w:p>
    <w:p ns2:paraId="1532047E">
      <w:pPr>
        <w:spacing w:before="0" w:after="0" w:line="420" w:lineRule="auto"/>
        <w:ind w:firstLine="420"/>
        <w:jc w:val="both"/>
      </w:pPr>
    </w:p>
    <w:p ns2:paraId="4FD5D492">
      <w:pPr>
        <w:spacing w:before="0" w:after="0" w:line="420" w:lineRule="auto"/>
        <w:ind w:firstLine="420"/>
        <w:jc w:val="both"/>
      </w:pPr>
    </w:p>
    <w:p ns2:paraId="55E91CA8">
      <w:pPr>
        <w:spacing w:before="0" w:after="0" w:line="420" w:lineRule="auto"/>
        <w:ind w:firstLine="420"/>
        <w:jc w:val="both"/>
      </w:pPr>
    </w:p>
    <w:p ns2:paraId="726CAFC3">
      <w:pPr>
        <w:spacing w:before="0" w:after="0" w:line="420" w:lineRule="auto"/>
        <w:ind w:firstLine="420"/>
        <w:jc w:val="both"/>
      </w:pPr>
    </w:p>
    <w:p ns2:paraId="5D053928">
      <w:pPr>
        <w:spacing w:before="0" w:after="0" w:line="420" w:lineRule="auto"/>
        <w:ind w:firstLine="420"/>
        <w:jc w:val="both"/>
      </w:pPr>
    </w:p>
    <w:p ns2:paraId="2DC54A27">
      <w:pPr>
        <w:spacing w:before="0" w:after="0" w:line="420" w:lineRule="auto"/>
        <w:ind w:firstLine="420"/>
        <w:jc w:val="both"/>
      </w:pPr>
    </w:p>
    <w:p ns2:paraId="517AD08C">
      <w:pPr>
        <w:spacing w:before="0" w:after="0" w:line="420" w:lineRule="auto"/>
        <w:ind w:firstLine="420"/>
        <w:jc w:val="both"/>
      </w:pPr>
    </w:p>
    <w:p ns2:paraId="4ECA8209">
      <w:pPr>
        <w:spacing w:before="0" w:after="0" w:line="420" w:lineRule="auto"/>
        <w:ind w:firstLine="420"/>
        <w:jc w:val="both"/>
      </w:pPr>
    </w:p>
    <w:p ns2:paraId="713622C7">
      <w:pPr>
        <w:spacing w:before="0" w:after="40" w:line="420" w:lineRule="auto"/>
        <w:jc w:val="center"/>
      </w:pPr>
      <w:r>
        <w: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w:t>
      </w:r>
    </w:p>
    <w:p ns2:paraId="4B59D11A">
      <w:r>
        <w:t>Panel A 代码本与二级主题框架</w:t>
      </w:r>
    </w:p>
    <w:tbl>
      <w:tblPr>
        <w:tblStyle w:val="2"/>
        <w:tblW w:w="8730"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938"/>
        <w:gridCol w:w="938"/>
        <w:gridCol w:w="1462"/>
        <w:gridCol w:w="1956"/>
        <w:gridCol w:w="2078"/>
        <w:gridCol w:w="1358"/>
      </w:tblGrid>
      <w:tr ns2:paraId="2D65E7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tblHeader/>
          <w:jc w:val="center"/>
        </w:trPr>
        <w:tc>
          <w:tcPr>
            <w:tcW w:w="938" w:type="dxa"/>
            <w:tcBorders>
              <w:top w:val="single" w:color="auto" w:sz="12" w:space="0"/>
              <w:left w:val="nil"/>
              <w:bottom w:val="nil"/>
              <w:right w:val="nil"/>
            </w:tcBorders>
            <w:noWrap w:val="0"/>
            <w:tcMar>
              <w:top w:w="40" w:type="dxa"/>
              <w:left w:w="50" w:type="dxa"/>
              <w:bottom w:w="40" w:type="dxa"/>
              <w:right w:w="50" w:type="dxa"/>
            </w:tcMar>
            <w:vAlign w:val="center"/>
          </w:tcPr>
          <w:p ns2:paraId="745C5D8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一级主题</w:t>
            </w:r>
          </w:p>
        </w:tc>
        <w:tc>
          <w:tcPr>
            <w:tcW w:w="938" w:type="dxa"/>
            <w:tcBorders>
              <w:top w:val="single" w:color="auto" w:sz="12" w:space="0"/>
              <w:left w:val="nil"/>
              <w:bottom w:val="nil"/>
              <w:right w:val="nil"/>
            </w:tcBorders>
            <w:noWrap w:val="0"/>
            <w:tcMar>
              <w:top w:w="40" w:type="dxa"/>
              <w:left w:w="50" w:type="dxa"/>
              <w:bottom w:w="40" w:type="dxa"/>
              <w:right w:w="50" w:type="dxa"/>
            </w:tcMar>
            <w:vAlign w:val="center"/>
          </w:tcPr>
          <w:p ns2:paraId="71E34FA5">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二级代码</w:t>
            </w:r>
          </w:p>
        </w:tc>
        <w:tc>
          <w:tcPr>
            <w:tcW w:w="0" w:type="auto"/>
            <w:tcBorders>
              <w:top w:val="single" w:color="auto" w:sz="12" w:space="0"/>
              <w:left w:val="nil"/>
              <w:bottom w:val="nil"/>
              <w:right w:val="nil"/>
            </w:tcBorders>
            <w:noWrap w:val="0"/>
            <w:tcMar>
              <w:top w:w="40" w:type="dxa"/>
              <w:left w:w="50" w:type="dxa"/>
              <w:bottom w:w="40" w:type="dxa"/>
              <w:right w:w="50" w:type="dxa"/>
            </w:tcMar>
            <w:vAlign w:val="center"/>
          </w:tcPr>
          <w:p ns2:paraId="7AE17722">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二级主题名称</w:t>
            </w:r>
          </w:p>
        </w:tc>
        <w:tc>
          <w:tcPr>
            <w:tcW w:w="1956" w:type="dxa"/>
            <w:tcBorders>
              <w:top w:val="single" w:color="auto" w:sz="12" w:space="0"/>
              <w:left w:val="nil"/>
              <w:bottom w:val="nil"/>
              <w:right w:val="nil"/>
            </w:tcBorders>
            <w:noWrap w:val="0"/>
            <w:tcMar>
              <w:top w:w="40" w:type="dxa"/>
              <w:left w:w="50" w:type="dxa"/>
              <w:bottom w:w="40" w:type="dxa"/>
              <w:right w:w="50" w:type="dxa"/>
            </w:tcMar>
            <w:vAlign w:val="center"/>
          </w:tcPr>
          <w:p ns2:paraId="7A83A86E">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操作性定义（简写）</w:t>
            </w:r>
          </w:p>
        </w:tc>
        <w:tc>
          <w:tcPr>
            <w:tcW w:w="2078" w:type="dxa"/>
            <w:tcBorders>
              <w:top w:val="single" w:color="auto" w:sz="12" w:space="0"/>
              <w:left w:val="nil"/>
              <w:bottom w:val="nil"/>
              <w:right w:val="nil"/>
            </w:tcBorders>
            <w:noWrap w:val="0"/>
            <w:tcMar>
              <w:top w:w="40" w:type="dxa"/>
              <w:left w:w="50" w:type="dxa"/>
              <w:bottom w:w="40" w:type="dxa"/>
              <w:right w:w="50" w:type="dxa"/>
            </w:tcMar>
            <w:vAlign w:val="center"/>
          </w:tcPr>
          <w:p ns2:paraId="75FC5199">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典型触发词/短语（示例）</w:t>
            </w:r>
          </w:p>
        </w:tc>
        <w:tc>
          <w:tcPr>
            <w:tcW w:w="1358" w:type="dxa"/>
            <w:tcBorders>
              <w:top w:val="single" w:color="auto" w:sz="12" w:space="0"/>
              <w:left w:val="nil"/>
              <w:bottom w:val="nil"/>
              <w:right w:val="nil"/>
            </w:tcBorders>
            <w:noWrap w:val="0"/>
            <w:tcMar>
              <w:top w:w="40" w:type="dxa"/>
              <w:left w:w="50" w:type="dxa"/>
              <w:bottom w:w="40" w:type="dxa"/>
              <w:right w:w="50" w:type="dxa"/>
            </w:tcMar>
            <w:vAlign w:val="center"/>
          </w:tcPr>
          <w:p ns2:paraId="59BD6881">
            <w:pPr>
              <w:snapToGrid w:val="0"/>
              <w:spacing w:before="0" w:after="0" w:line="240" w:lineRule="auto"/>
              <w:ind w:left="0" w:leftChars="0" w:right="0" w:rightChars="0" w:firstLine="0" w:firstLineChars="0"/>
              <w:jc w:val="center"/>
              <w:rPr>
                <w:rFonts w:ascii="Noto Serif CJK SC" w:eastAsia="Noto Serif CJK SC"/>
                <w:b/>
                <w:sz w:val="21"/>
                <w:szCs w:val="21"/>
              </w:rPr>
            </w:pPr>
            <w:r>
              <w:rPr>
                <w:rFonts w:ascii="Noto Serif CJK SC" w:hAnsi="Noto Serif CJK SC" w:eastAsia="Noto Serif CJK SC"/>
                <w:b/>
                <w:sz w:val="21"/>
                <w:szCs w:val="21"/>
              </w:rPr>
              <w:t>后续变量映射</w:t>
            </w:r>
          </w:p>
        </w:tc>
      </w:tr>
      <w:tr ns2:paraId="78195F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single" w:color="auto" w:sz="4" w:space="0"/>
              <w:left w:val="nil"/>
              <w:bottom w:val="nil"/>
              <w:right w:val="nil"/>
            </w:tcBorders>
            <w:noWrap w:val="0"/>
            <w:tcMar>
              <w:top w:w="40" w:type="dxa"/>
              <w:left w:w="50" w:type="dxa"/>
              <w:bottom w:w="40" w:type="dxa"/>
              <w:right w:w="50" w:type="dxa"/>
            </w:tcMar>
            <w:vAlign w:val="center"/>
          </w:tcPr>
          <w:p ns2:paraId="16215BE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single" w:color="auto" w:sz="4" w:space="0"/>
              <w:left w:val="nil"/>
              <w:bottom w:val="nil"/>
              <w:right w:val="nil"/>
            </w:tcBorders>
            <w:noWrap w:val="0"/>
            <w:tcMar>
              <w:top w:w="40" w:type="dxa"/>
              <w:left w:w="50" w:type="dxa"/>
              <w:bottom w:w="40" w:type="dxa"/>
              <w:right w:w="50" w:type="dxa"/>
            </w:tcMar>
            <w:vAlign w:val="center"/>
          </w:tcPr>
          <w:p ns2:paraId="55E38E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w:t>
            </w:r>
          </w:p>
        </w:tc>
        <w:tc>
          <w:tcPr>
            <w:tcW w:w="0" w:type="auto"/>
            <w:tcBorders>
              <w:top w:val="single" w:color="auto" w:sz="4" w:space="0"/>
              <w:left w:val="nil"/>
              <w:bottom w:val="nil"/>
              <w:right w:val="nil"/>
            </w:tcBorders>
            <w:noWrap w:val="0"/>
            <w:tcMar>
              <w:top w:w="40" w:type="dxa"/>
              <w:left w:w="50" w:type="dxa"/>
              <w:bottom w:w="40" w:type="dxa"/>
              <w:right w:w="50" w:type="dxa"/>
            </w:tcMar>
            <w:vAlign w:val="center"/>
          </w:tcPr>
          <w:p ns2:paraId="588D68A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平台建设与在线办理</w:t>
            </w:r>
          </w:p>
        </w:tc>
        <w:tc>
          <w:tcPr>
            <w:tcW w:w="1956" w:type="dxa"/>
            <w:tcBorders>
              <w:top w:val="single" w:color="auto" w:sz="4" w:space="0"/>
              <w:left w:val="nil"/>
              <w:bottom w:val="nil"/>
              <w:right w:val="nil"/>
            </w:tcBorders>
            <w:noWrap w:val="0"/>
            <w:tcMar>
              <w:top w:w="40" w:type="dxa"/>
              <w:left w:w="50" w:type="dxa"/>
              <w:bottom w:w="40" w:type="dxa"/>
              <w:right w:w="50" w:type="dxa"/>
            </w:tcMar>
            <w:vAlign w:val="center"/>
          </w:tcPr>
          <w:p ns2:paraId="005A375B">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PPP管理、审批、受理、流程办理的线上平台化表达</w:t>
            </w:r>
          </w:p>
        </w:tc>
        <w:tc>
          <w:tcPr>
            <w:tcW w:w="2078" w:type="dxa"/>
            <w:tcBorders>
              <w:top w:val="single" w:color="auto" w:sz="4" w:space="0"/>
              <w:left w:val="nil"/>
              <w:bottom w:val="nil"/>
              <w:right w:val="nil"/>
            </w:tcBorders>
            <w:noWrap w:val="0"/>
            <w:tcMar>
              <w:top w:w="40" w:type="dxa"/>
              <w:left w:w="50" w:type="dxa"/>
              <w:bottom w:w="40" w:type="dxa"/>
              <w:right w:w="50" w:type="dxa"/>
            </w:tcMar>
            <w:vAlign w:val="center"/>
          </w:tcPr>
          <w:p ns2:paraId="593937D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平台、系统、在线办理、网上审批、一网通办</w:t>
            </w:r>
          </w:p>
        </w:tc>
        <w:tc>
          <w:tcPr>
            <w:tcW w:w="1358" w:type="dxa"/>
            <w:tcBorders>
              <w:top w:val="single" w:color="auto" w:sz="4" w:space="0"/>
              <w:left w:val="nil"/>
              <w:bottom w:val="nil"/>
              <w:right w:val="nil"/>
            </w:tcBorders>
            <w:noWrap w:val="0"/>
            <w:tcMar>
              <w:top w:w="40" w:type="dxa"/>
              <w:left w:w="50" w:type="dxa"/>
              <w:bottom w:w="40" w:type="dxa"/>
              <w:right w:w="50" w:type="dxa"/>
            </w:tcMar>
            <w:vAlign w:val="center"/>
          </w:tcPr>
          <w:p ns2:paraId="5F474AF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A1_idx / A_idx</w:t>
            </w:r>
          </w:p>
        </w:tc>
      </w:tr>
      <w:tr ns2:paraId="6D4F33D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F47C64">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ns2:paraId="0385F30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w:t>
            </w:r>
          </w:p>
        </w:tc>
        <w:tc>
          <w:tcPr>
            <w:tcW w:w="0" w:type="auto"/>
            <w:tcBorders>
              <w:top w:val="nil"/>
              <w:left w:val="nil"/>
              <w:bottom w:val="nil"/>
              <w:right w:val="nil"/>
            </w:tcBorders>
            <w:noWrap w:val="0"/>
            <w:tcMar>
              <w:top w:w="40" w:type="dxa"/>
              <w:left w:w="50" w:type="dxa"/>
              <w:bottom w:w="40" w:type="dxa"/>
              <w:right w:w="50" w:type="dxa"/>
            </w:tcMar>
            <w:vAlign w:val="center"/>
          </w:tcPr>
          <w:p ns2:paraId="2E913B1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数据共享与动态报送</w:t>
            </w:r>
          </w:p>
        </w:tc>
        <w:tc>
          <w:tcPr>
            <w:tcW w:w="1956" w:type="dxa"/>
            <w:tcBorders>
              <w:top w:val="nil"/>
              <w:left w:val="nil"/>
              <w:bottom w:val="nil"/>
              <w:right w:val="nil"/>
            </w:tcBorders>
            <w:noWrap w:val="0"/>
            <w:tcMar>
              <w:top w:w="40" w:type="dxa"/>
              <w:left w:w="50" w:type="dxa"/>
              <w:bottom w:w="40" w:type="dxa"/>
              <w:right w:w="50" w:type="dxa"/>
            </w:tcMar>
            <w:vAlign w:val="center"/>
          </w:tcPr>
          <w:p ns2:paraId="606B903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跨部门数据共享、动态更新、监测台账、接口对接</w:t>
            </w:r>
          </w:p>
        </w:tc>
        <w:tc>
          <w:tcPr>
            <w:tcW w:w="2078" w:type="dxa"/>
            <w:tcBorders>
              <w:top w:val="nil"/>
              <w:left w:val="nil"/>
              <w:bottom w:val="nil"/>
              <w:right w:val="nil"/>
            </w:tcBorders>
            <w:noWrap w:val="0"/>
            <w:tcMar>
              <w:top w:w="40" w:type="dxa"/>
              <w:left w:w="50" w:type="dxa"/>
              <w:bottom w:w="40" w:type="dxa"/>
              <w:right w:w="50" w:type="dxa"/>
            </w:tcMar>
            <w:vAlign w:val="center"/>
          </w:tcPr>
          <w:p ns2:paraId="288DD9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数据共享、归集、动态报送、数据接口、互联互通</w:t>
            </w:r>
          </w:p>
        </w:tc>
        <w:tc>
          <w:tcPr>
            <w:tcW w:w="1358" w:type="dxa"/>
            <w:tcBorders>
              <w:top w:val="nil"/>
              <w:left w:val="nil"/>
              <w:bottom w:val="nil"/>
              <w:right w:val="nil"/>
            </w:tcBorders>
            <w:noWrap w:val="0"/>
            <w:tcMar>
              <w:top w:w="40" w:type="dxa"/>
              <w:left w:w="50" w:type="dxa"/>
              <w:bottom w:w="40" w:type="dxa"/>
              <w:right w:w="50" w:type="dxa"/>
            </w:tcMar>
            <w:vAlign w:val="center"/>
          </w:tcPr>
          <w:p ns2:paraId="746D468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A2_idx / A_idx</w:t>
            </w:r>
          </w:p>
        </w:tc>
      </w:tr>
      <w:tr ns2:paraId="1CFB56A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752F5ED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w:t>
            </w:r>
          </w:p>
        </w:tc>
        <w:tc>
          <w:tcPr>
            <w:tcW w:w="938" w:type="dxa"/>
            <w:tcBorders>
              <w:top w:val="nil"/>
              <w:left w:val="nil"/>
              <w:bottom w:val="nil"/>
              <w:right w:val="nil"/>
            </w:tcBorders>
            <w:noWrap w:val="0"/>
            <w:tcMar>
              <w:top w:w="40" w:type="dxa"/>
              <w:left w:w="50" w:type="dxa"/>
              <w:bottom w:w="40" w:type="dxa"/>
              <w:right w:w="50" w:type="dxa"/>
            </w:tcMar>
            <w:vAlign w:val="center"/>
          </w:tcPr>
          <w:p ns2:paraId="62B2567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w:t>
            </w:r>
          </w:p>
        </w:tc>
        <w:tc>
          <w:tcPr>
            <w:tcW w:w="0" w:type="auto"/>
            <w:tcBorders>
              <w:top w:val="nil"/>
              <w:left w:val="nil"/>
              <w:bottom w:val="nil"/>
              <w:right w:val="nil"/>
            </w:tcBorders>
            <w:noWrap w:val="0"/>
            <w:tcMar>
              <w:top w:w="40" w:type="dxa"/>
              <w:left w:w="50" w:type="dxa"/>
              <w:bottom w:w="40" w:type="dxa"/>
              <w:right w:w="50" w:type="dxa"/>
            </w:tcMar>
            <w:vAlign w:val="center"/>
          </w:tcPr>
          <w:p ns2:paraId="0D01FD6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信息公开与透明协同</w:t>
            </w:r>
          </w:p>
        </w:tc>
        <w:tc>
          <w:tcPr>
            <w:tcW w:w="1956" w:type="dxa"/>
            <w:tcBorders>
              <w:top w:val="nil"/>
              <w:left w:val="nil"/>
              <w:bottom w:val="nil"/>
              <w:right w:val="nil"/>
            </w:tcBorders>
            <w:noWrap w:val="0"/>
            <w:tcMar>
              <w:top w:w="40" w:type="dxa"/>
              <w:left w:w="50" w:type="dxa"/>
              <w:bottom w:w="40" w:type="dxa"/>
              <w:right w:w="50" w:type="dxa"/>
            </w:tcMar>
            <w:vAlign w:val="center"/>
          </w:tcPr>
          <w:p ns2:paraId="102BC89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项目公示、披露、过程透明、社会监督便利性</w:t>
            </w:r>
          </w:p>
        </w:tc>
        <w:tc>
          <w:tcPr>
            <w:tcW w:w="2078" w:type="dxa"/>
            <w:tcBorders>
              <w:top w:val="nil"/>
              <w:left w:val="nil"/>
              <w:bottom w:val="nil"/>
              <w:right w:val="nil"/>
            </w:tcBorders>
            <w:noWrap w:val="0"/>
            <w:tcMar>
              <w:top w:w="40" w:type="dxa"/>
              <w:left w:w="50" w:type="dxa"/>
              <w:bottom w:w="40" w:type="dxa"/>
              <w:right w:w="50" w:type="dxa"/>
            </w:tcMar>
            <w:vAlign w:val="center"/>
          </w:tcPr>
          <w:p ns2:paraId="72726F2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信息公开、公示、披露、透明、公告、社会监督</w:t>
            </w:r>
          </w:p>
        </w:tc>
        <w:tc>
          <w:tcPr>
            <w:tcW w:w="1358" w:type="dxa"/>
            <w:tcBorders>
              <w:top w:val="nil"/>
              <w:left w:val="nil"/>
              <w:bottom w:val="nil"/>
              <w:right w:val="nil"/>
            </w:tcBorders>
            <w:noWrap w:val="0"/>
            <w:tcMar>
              <w:top w:w="40" w:type="dxa"/>
              <w:left w:w="50" w:type="dxa"/>
              <w:bottom w:w="40" w:type="dxa"/>
              <w:right w:w="50" w:type="dxa"/>
            </w:tcMar>
            <w:vAlign w:val="center"/>
          </w:tcPr>
          <w:p ns2:paraId="5F25CEF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A3_idx / A_idx</w:t>
            </w:r>
          </w:p>
        </w:tc>
      </w:tr>
      <w:tr ns2:paraId="31C0866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CD84CE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5FD79B8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w:t>
            </w:r>
          </w:p>
        </w:tc>
        <w:tc>
          <w:tcPr>
            <w:tcW w:w="0" w:type="auto"/>
            <w:tcBorders>
              <w:top w:val="nil"/>
              <w:left w:val="nil"/>
              <w:bottom w:val="nil"/>
              <w:right w:val="nil"/>
            </w:tcBorders>
            <w:noWrap w:val="0"/>
            <w:tcMar>
              <w:top w:w="40" w:type="dxa"/>
              <w:left w:w="50" w:type="dxa"/>
              <w:bottom w:w="40" w:type="dxa"/>
              <w:right w:w="50" w:type="dxa"/>
            </w:tcMar>
            <w:vAlign w:val="center"/>
          </w:tcPr>
          <w:p ns2:paraId="48BBBA7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项目识别、筛选与入库</w:t>
            </w:r>
          </w:p>
        </w:tc>
        <w:tc>
          <w:tcPr>
            <w:tcW w:w="1956" w:type="dxa"/>
            <w:tcBorders>
              <w:top w:val="nil"/>
              <w:left w:val="nil"/>
              <w:bottom w:val="nil"/>
              <w:right w:val="nil"/>
            </w:tcBorders>
            <w:noWrap w:val="0"/>
            <w:tcMar>
              <w:top w:w="40" w:type="dxa"/>
              <w:left w:w="50" w:type="dxa"/>
              <w:bottom w:w="40" w:type="dxa"/>
              <w:right w:w="50" w:type="dxa"/>
            </w:tcMar>
            <w:vAlign w:val="center"/>
          </w:tcPr>
          <w:p ns2:paraId="1F5BFB76">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PPP项目识别、储备、筛选、遴选、入库管理</w:t>
            </w:r>
          </w:p>
        </w:tc>
        <w:tc>
          <w:tcPr>
            <w:tcW w:w="2078" w:type="dxa"/>
            <w:tcBorders>
              <w:top w:val="nil"/>
              <w:left w:val="nil"/>
              <w:bottom w:val="nil"/>
              <w:right w:val="nil"/>
            </w:tcBorders>
            <w:noWrap w:val="0"/>
            <w:tcMar>
              <w:top w:w="40" w:type="dxa"/>
              <w:left w:w="50" w:type="dxa"/>
              <w:bottom w:w="40" w:type="dxa"/>
              <w:right w:w="50" w:type="dxa"/>
            </w:tcMar>
            <w:vAlign w:val="center"/>
          </w:tcPr>
          <w:p ns2:paraId="20D083D5">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项目识别、项目储备库、入库、备选项目、适宜采用</w:t>
            </w:r>
          </w:p>
        </w:tc>
        <w:tc>
          <w:tcPr>
            <w:tcW w:w="1358" w:type="dxa"/>
            <w:tcBorders>
              <w:top w:val="nil"/>
              <w:left w:val="nil"/>
              <w:bottom w:val="nil"/>
              <w:right w:val="nil"/>
            </w:tcBorders>
            <w:noWrap w:val="0"/>
            <w:tcMar>
              <w:top w:w="40" w:type="dxa"/>
              <w:left w:w="50" w:type="dxa"/>
              <w:bottom w:w="40" w:type="dxa"/>
              <w:right w:w="50" w:type="dxa"/>
            </w:tcMar>
            <w:vAlign w:val="center"/>
          </w:tcPr>
          <w:p ns2:paraId="66A9FEC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B1_idx / B_idx</w:t>
            </w:r>
          </w:p>
        </w:tc>
      </w:tr>
      <w:tr ns2:paraId="6D2AB3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9D4C1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5AB6DFA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w:t>
            </w:r>
          </w:p>
        </w:tc>
        <w:tc>
          <w:tcPr>
            <w:tcW w:w="0" w:type="auto"/>
            <w:tcBorders>
              <w:top w:val="nil"/>
              <w:left w:val="nil"/>
              <w:bottom w:val="nil"/>
              <w:right w:val="nil"/>
            </w:tcBorders>
            <w:noWrap w:val="0"/>
            <w:tcMar>
              <w:top w:w="40" w:type="dxa"/>
              <w:left w:w="50" w:type="dxa"/>
              <w:bottom w:w="40" w:type="dxa"/>
              <w:right w:w="50" w:type="dxa"/>
            </w:tcMar>
            <w:vAlign w:val="center"/>
          </w:tcPr>
          <w:p ns2:paraId="5B1EC3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财政承受能力与物有所值论证</w:t>
            </w:r>
          </w:p>
        </w:tc>
        <w:tc>
          <w:tcPr>
            <w:tcW w:w="1956" w:type="dxa"/>
            <w:tcBorders>
              <w:top w:val="nil"/>
              <w:left w:val="nil"/>
              <w:bottom w:val="nil"/>
              <w:right w:val="nil"/>
            </w:tcBorders>
            <w:noWrap w:val="0"/>
            <w:tcMar>
              <w:top w:w="40" w:type="dxa"/>
              <w:left w:w="50" w:type="dxa"/>
              <w:bottom w:w="40" w:type="dxa"/>
              <w:right w:w="50" w:type="dxa"/>
            </w:tcMar>
            <w:vAlign w:val="center"/>
          </w:tcPr>
          <w:p ns2:paraId="13EB8D7F">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财承、VFM、支出责任、预算约束与财务测算</w:t>
            </w:r>
          </w:p>
        </w:tc>
        <w:tc>
          <w:tcPr>
            <w:tcW w:w="2078" w:type="dxa"/>
            <w:tcBorders>
              <w:top w:val="nil"/>
              <w:left w:val="nil"/>
              <w:bottom w:val="nil"/>
              <w:right w:val="nil"/>
            </w:tcBorders>
            <w:noWrap w:val="0"/>
            <w:tcMar>
              <w:top w:w="40" w:type="dxa"/>
              <w:left w:w="50" w:type="dxa"/>
              <w:bottom w:w="40" w:type="dxa"/>
              <w:right w:w="50" w:type="dxa"/>
            </w:tcMar>
            <w:vAlign w:val="center"/>
          </w:tcPr>
          <w:p ns2:paraId="5CB660B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财政承受能力、物有所值、VFM、支出责任、预算约束</w:t>
            </w:r>
          </w:p>
        </w:tc>
        <w:tc>
          <w:tcPr>
            <w:tcW w:w="1358" w:type="dxa"/>
            <w:tcBorders>
              <w:top w:val="nil"/>
              <w:left w:val="nil"/>
              <w:bottom w:val="nil"/>
              <w:right w:val="nil"/>
            </w:tcBorders>
            <w:noWrap w:val="0"/>
            <w:tcMar>
              <w:top w:w="40" w:type="dxa"/>
              <w:left w:w="50" w:type="dxa"/>
              <w:bottom w:w="40" w:type="dxa"/>
              <w:right w:w="50" w:type="dxa"/>
            </w:tcMar>
            <w:vAlign w:val="center"/>
          </w:tcPr>
          <w:p ns2:paraId="17C190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B2_idx / B_idx</w:t>
            </w:r>
          </w:p>
        </w:tc>
      </w:tr>
      <w:tr ns2:paraId="3B512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48A327A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w:t>
            </w:r>
          </w:p>
        </w:tc>
        <w:tc>
          <w:tcPr>
            <w:tcW w:w="938" w:type="dxa"/>
            <w:tcBorders>
              <w:top w:val="nil"/>
              <w:left w:val="nil"/>
              <w:bottom w:val="nil"/>
              <w:right w:val="nil"/>
            </w:tcBorders>
            <w:noWrap w:val="0"/>
            <w:tcMar>
              <w:top w:w="40" w:type="dxa"/>
              <w:left w:w="50" w:type="dxa"/>
              <w:bottom w:w="40" w:type="dxa"/>
              <w:right w:w="50" w:type="dxa"/>
            </w:tcMar>
            <w:vAlign w:val="center"/>
          </w:tcPr>
          <w:p ns2:paraId="431BEAC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w:t>
            </w:r>
          </w:p>
        </w:tc>
        <w:tc>
          <w:tcPr>
            <w:tcW w:w="0" w:type="auto"/>
            <w:tcBorders>
              <w:top w:val="nil"/>
              <w:left w:val="nil"/>
              <w:bottom w:val="nil"/>
              <w:right w:val="nil"/>
            </w:tcBorders>
            <w:noWrap w:val="0"/>
            <w:tcMar>
              <w:top w:w="40" w:type="dxa"/>
              <w:left w:w="50" w:type="dxa"/>
              <w:bottom w:w="40" w:type="dxa"/>
              <w:right w:w="50" w:type="dxa"/>
            </w:tcMar>
            <w:vAlign w:val="center"/>
          </w:tcPr>
          <w:p ns2:paraId="7974685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实施方案设计与审批程序</w:t>
            </w:r>
          </w:p>
        </w:tc>
        <w:tc>
          <w:tcPr>
            <w:tcW w:w="1956" w:type="dxa"/>
            <w:tcBorders>
              <w:top w:val="nil"/>
              <w:left w:val="nil"/>
              <w:bottom w:val="nil"/>
              <w:right w:val="nil"/>
            </w:tcBorders>
            <w:noWrap w:val="0"/>
            <w:tcMar>
              <w:top w:w="40" w:type="dxa"/>
              <w:left w:w="50" w:type="dxa"/>
              <w:bottom w:w="40" w:type="dxa"/>
              <w:right w:w="50" w:type="dxa"/>
            </w:tcMar>
            <w:vAlign w:val="center"/>
          </w:tcPr>
          <w:p ns2:paraId="0C2B0F5C">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实施方案编制、审议、批复、备案、联审联批</w:t>
            </w:r>
          </w:p>
        </w:tc>
        <w:tc>
          <w:tcPr>
            <w:tcW w:w="2078" w:type="dxa"/>
            <w:tcBorders>
              <w:top w:val="nil"/>
              <w:left w:val="nil"/>
              <w:bottom w:val="nil"/>
              <w:right w:val="nil"/>
            </w:tcBorders>
            <w:noWrap w:val="0"/>
            <w:tcMar>
              <w:top w:w="40" w:type="dxa"/>
              <w:left w:w="50" w:type="dxa"/>
              <w:bottom w:w="40" w:type="dxa"/>
              <w:right w:w="50" w:type="dxa"/>
            </w:tcMar>
            <w:vAlign w:val="center"/>
          </w:tcPr>
          <w:p ns2:paraId="4F24E25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实施方案、审批程序、审议、批复、备案、论证</w:t>
            </w:r>
          </w:p>
        </w:tc>
        <w:tc>
          <w:tcPr>
            <w:tcW w:w="1358" w:type="dxa"/>
            <w:tcBorders>
              <w:top w:val="nil"/>
              <w:left w:val="nil"/>
              <w:bottom w:val="nil"/>
              <w:right w:val="nil"/>
            </w:tcBorders>
            <w:noWrap w:val="0"/>
            <w:tcMar>
              <w:top w:w="40" w:type="dxa"/>
              <w:left w:w="50" w:type="dxa"/>
              <w:bottom w:w="40" w:type="dxa"/>
              <w:right w:w="50" w:type="dxa"/>
            </w:tcMar>
            <w:vAlign w:val="center"/>
          </w:tcPr>
          <w:p ns2:paraId="2700B7ED">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B3_idx / B_idx</w:t>
            </w:r>
          </w:p>
        </w:tc>
      </w:tr>
      <w:tr ns2:paraId="421228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53A4EAD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4BF7E5E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w:t>
            </w:r>
          </w:p>
        </w:tc>
        <w:tc>
          <w:tcPr>
            <w:tcW w:w="0" w:type="auto"/>
            <w:tcBorders>
              <w:top w:val="nil"/>
              <w:left w:val="nil"/>
              <w:bottom w:val="nil"/>
              <w:right w:val="nil"/>
            </w:tcBorders>
            <w:noWrap w:val="0"/>
            <w:tcMar>
              <w:top w:w="40" w:type="dxa"/>
              <w:left w:w="50" w:type="dxa"/>
              <w:bottom w:w="40" w:type="dxa"/>
              <w:right w:w="50" w:type="dxa"/>
            </w:tcMar>
            <w:vAlign w:val="center"/>
          </w:tcPr>
          <w:p ns2:paraId="2BB80A6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社会资本采购与竞争配置</w:t>
            </w:r>
          </w:p>
        </w:tc>
        <w:tc>
          <w:tcPr>
            <w:tcW w:w="1956" w:type="dxa"/>
            <w:tcBorders>
              <w:top w:val="nil"/>
              <w:left w:val="nil"/>
              <w:bottom w:val="nil"/>
              <w:right w:val="nil"/>
            </w:tcBorders>
            <w:noWrap w:val="0"/>
            <w:tcMar>
              <w:top w:w="40" w:type="dxa"/>
              <w:left w:w="50" w:type="dxa"/>
              <w:bottom w:w="40" w:type="dxa"/>
              <w:right w:w="50" w:type="dxa"/>
            </w:tcMar>
            <w:vAlign w:val="center"/>
          </w:tcPr>
          <w:p ns2:paraId="214A1645">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招标采购、资格预审、评标、中标与竞争配置</w:t>
            </w:r>
          </w:p>
        </w:tc>
        <w:tc>
          <w:tcPr>
            <w:tcW w:w="2078" w:type="dxa"/>
            <w:tcBorders>
              <w:top w:val="nil"/>
              <w:left w:val="nil"/>
              <w:bottom w:val="nil"/>
              <w:right w:val="nil"/>
            </w:tcBorders>
            <w:noWrap w:val="0"/>
            <w:tcMar>
              <w:top w:w="40" w:type="dxa"/>
              <w:left w:w="50" w:type="dxa"/>
              <w:bottom w:w="40" w:type="dxa"/>
              <w:right w:w="50" w:type="dxa"/>
            </w:tcMar>
            <w:vAlign w:val="center"/>
          </w:tcPr>
          <w:p ns2:paraId="0826A19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采购、公开招标、竞争性磋商、资格预审、中标</w:t>
            </w:r>
          </w:p>
        </w:tc>
        <w:tc>
          <w:tcPr>
            <w:tcW w:w="1358" w:type="dxa"/>
            <w:tcBorders>
              <w:top w:val="nil"/>
              <w:left w:val="nil"/>
              <w:bottom w:val="nil"/>
              <w:right w:val="nil"/>
            </w:tcBorders>
            <w:noWrap w:val="0"/>
            <w:tcMar>
              <w:top w:w="40" w:type="dxa"/>
              <w:left w:w="50" w:type="dxa"/>
              <w:bottom w:w="40" w:type="dxa"/>
              <w:right w:w="50" w:type="dxa"/>
            </w:tcMar>
            <w:vAlign w:val="center"/>
          </w:tcPr>
          <w:p ns2:paraId="0DC1D29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C1_idx / C_idx</w:t>
            </w:r>
          </w:p>
        </w:tc>
      </w:tr>
      <w:tr ns2:paraId="0350273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6F8C712F">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30C7E01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w:t>
            </w:r>
          </w:p>
        </w:tc>
        <w:tc>
          <w:tcPr>
            <w:tcW w:w="0" w:type="auto"/>
            <w:tcBorders>
              <w:top w:val="nil"/>
              <w:left w:val="nil"/>
              <w:bottom w:val="nil"/>
              <w:right w:val="nil"/>
            </w:tcBorders>
            <w:noWrap w:val="0"/>
            <w:tcMar>
              <w:top w:w="40" w:type="dxa"/>
              <w:left w:w="50" w:type="dxa"/>
              <w:bottom w:w="40" w:type="dxa"/>
              <w:right w:w="50" w:type="dxa"/>
            </w:tcMar>
            <w:vAlign w:val="center"/>
          </w:tcPr>
          <w:p ns2:paraId="7A0067F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合同设计、权责配置与收益安排</w:t>
            </w:r>
          </w:p>
        </w:tc>
        <w:tc>
          <w:tcPr>
            <w:tcW w:w="1956" w:type="dxa"/>
            <w:tcBorders>
              <w:top w:val="nil"/>
              <w:left w:val="nil"/>
              <w:bottom w:val="nil"/>
              <w:right w:val="nil"/>
            </w:tcBorders>
            <w:noWrap w:val="0"/>
            <w:tcMar>
              <w:top w:w="40" w:type="dxa"/>
              <w:left w:w="50" w:type="dxa"/>
              <w:bottom w:w="40" w:type="dxa"/>
              <w:right w:w="50" w:type="dxa"/>
            </w:tcMar>
            <w:vAlign w:val="center"/>
          </w:tcPr>
          <w:p ns2:paraId="718E9ABD">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PPP合同、风险分担、回报机制、付费方式、收益安排</w:t>
            </w:r>
          </w:p>
        </w:tc>
        <w:tc>
          <w:tcPr>
            <w:tcW w:w="2078" w:type="dxa"/>
            <w:tcBorders>
              <w:top w:val="nil"/>
              <w:left w:val="nil"/>
              <w:bottom w:val="nil"/>
              <w:right w:val="nil"/>
            </w:tcBorders>
            <w:noWrap w:val="0"/>
            <w:tcMar>
              <w:top w:w="40" w:type="dxa"/>
              <w:left w:w="50" w:type="dxa"/>
              <w:bottom w:w="40" w:type="dxa"/>
              <w:right w:w="50" w:type="dxa"/>
            </w:tcMar>
            <w:vAlign w:val="center"/>
          </w:tcPr>
          <w:p ns2:paraId="0FE8D8E6">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合同、权利义务、风险分担、回报机制、政府付费</w:t>
            </w:r>
          </w:p>
        </w:tc>
        <w:tc>
          <w:tcPr>
            <w:tcW w:w="1358" w:type="dxa"/>
            <w:tcBorders>
              <w:top w:val="nil"/>
              <w:left w:val="nil"/>
              <w:bottom w:val="nil"/>
              <w:right w:val="nil"/>
            </w:tcBorders>
            <w:noWrap w:val="0"/>
            <w:tcMar>
              <w:top w:w="40" w:type="dxa"/>
              <w:left w:w="50" w:type="dxa"/>
              <w:bottom w:w="40" w:type="dxa"/>
              <w:right w:w="50" w:type="dxa"/>
            </w:tcMar>
            <w:vAlign w:val="center"/>
          </w:tcPr>
          <w:p ns2:paraId="67915D8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C2_idx / C_idx</w:t>
            </w:r>
          </w:p>
        </w:tc>
      </w:tr>
      <w:tr ns2:paraId="7E4376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14AB805A">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w:t>
            </w:r>
          </w:p>
        </w:tc>
        <w:tc>
          <w:tcPr>
            <w:tcW w:w="938" w:type="dxa"/>
            <w:tcBorders>
              <w:top w:val="nil"/>
              <w:left w:val="nil"/>
              <w:bottom w:val="nil"/>
              <w:right w:val="nil"/>
            </w:tcBorders>
            <w:noWrap w:val="0"/>
            <w:tcMar>
              <w:top w:w="40" w:type="dxa"/>
              <w:left w:w="50" w:type="dxa"/>
              <w:bottom w:w="40" w:type="dxa"/>
              <w:right w:w="50" w:type="dxa"/>
            </w:tcMar>
            <w:vAlign w:val="center"/>
          </w:tcPr>
          <w:p ns2:paraId="2C1824B1">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w:t>
            </w:r>
          </w:p>
        </w:tc>
        <w:tc>
          <w:tcPr>
            <w:tcW w:w="0" w:type="auto"/>
            <w:tcBorders>
              <w:top w:val="nil"/>
              <w:left w:val="nil"/>
              <w:bottom w:val="nil"/>
              <w:right w:val="nil"/>
            </w:tcBorders>
            <w:noWrap w:val="0"/>
            <w:tcMar>
              <w:top w:w="40" w:type="dxa"/>
              <w:left w:w="50" w:type="dxa"/>
              <w:bottom w:w="40" w:type="dxa"/>
              <w:right w:w="50" w:type="dxa"/>
            </w:tcMar>
            <w:vAlign w:val="center"/>
          </w:tcPr>
          <w:p ns2:paraId="6C808232">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项目执行、绩效评价与运营维护</w:t>
            </w:r>
          </w:p>
        </w:tc>
        <w:tc>
          <w:tcPr>
            <w:tcW w:w="1956" w:type="dxa"/>
            <w:tcBorders>
              <w:top w:val="nil"/>
              <w:left w:val="nil"/>
              <w:bottom w:val="nil"/>
              <w:right w:val="nil"/>
            </w:tcBorders>
            <w:noWrap w:val="0"/>
            <w:tcMar>
              <w:top w:w="40" w:type="dxa"/>
              <w:left w:w="50" w:type="dxa"/>
              <w:bottom w:w="40" w:type="dxa"/>
              <w:right w:w="50" w:type="dxa"/>
            </w:tcMar>
            <w:vAlign w:val="center"/>
          </w:tcPr>
          <w:p ns2:paraId="4F0279B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项目实施、建设推进、运营管理、绩效考核、后评价</w:t>
            </w:r>
          </w:p>
        </w:tc>
        <w:tc>
          <w:tcPr>
            <w:tcW w:w="2078" w:type="dxa"/>
            <w:tcBorders>
              <w:top w:val="nil"/>
              <w:left w:val="nil"/>
              <w:bottom w:val="nil"/>
              <w:right w:val="nil"/>
            </w:tcBorders>
            <w:noWrap w:val="0"/>
            <w:tcMar>
              <w:top w:w="40" w:type="dxa"/>
              <w:left w:w="50" w:type="dxa"/>
              <w:bottom w:w="40" w:type="dxa"/>
              <w:right w:w="50" w:type="dxa"/>
            </w:tcMar>
            <w:vAlign w:val="center"/>
          </w:tcPr>
          <w:p ns2:paraId="02A29D7E">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实施、执行、推进、运营、维护、绩效评价、验收</w:t>
            </w:r>
          </w:p>
        </w:tc>
        <w:tc>
          <w:tcPr>
            <w:tcW w:w="1358" w:type="dxa"/>
            <w:tcBorders>
              <w:top w:val="nil"/>
              <w:left w:val="nil"/>
              <w:bottom w:val="nil"/>
              <w:right w:val="nil"/>
            </w:tcBorders>
            <w:noWrap w:val="0"/>
            <w:tcMar>
              <w:top w:w="40" w:type="dxa"/>
              <w:left w:w="50" w:type="dxa"/>
              <w:bottom w:w="40" w:type="dxa"/>
              <w:right w:w="50" w:type="dxa"/>
            </w:tcMar>
            <w:vAlign w:val="center"/>
          </w:tcPr>
          <w:p ns2:paraId="3ED96173">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C3_idx / C_idx</w:t>
            </w:r>
          </w:p>
        </w:tc>
      </w:tr>
      <w:tr ns2:paraId="1F4BD8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BD42C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ns2:paraId="25194BB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w:t>
            </w:r>
          </w:p>
        </w:tc>
        <w:tc>
          <w:tcPr>
            <w:tcW w:w="0" w:type="auto"/>
            <w:tcBorders>
              <w:top w:val="nil"/>
              <w:left w:val="nil"/>
              <w:bottom w:val="nil"/>
              <w:right w:val="nil"/>
            </w:tcBorders>
            <w:noWrap w:val="0"/>
            <w:tcMar>
              <w:top w:w="40" w:type="dxa"/>
              <w:left w:w="50" w:type="dxa"/>
              <w:bottom w:w="40" w:type="dxa"/>
              <w:right w:w="50" w:type="dxa"/>
            </w:tcMar>
            <w:vAlign w:val="center"/>
          </w:tcPr>
          <w:p ns2:paraId="5D38B15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财政约束、债务底线与责任风险</w:t>
            </w:r>
          </w:p>
        </w:tc>
        <w:tc>
          <w:tcPr>
            <w:tcW w:w="1956" w:type="dxa"/>
            <w:tcBorders>
              <w:top w:val="nil"/>
              <w:left w:val="nil"/>
              <w:bottom w:val="nil"/>
              <w:right w:val="nil"/>
            </w:tcBorders>
            <w:noWrap w:val="0"/>
            <w:tcMar>
              <w:top w:w="40" w:type="dxa"/>
              <w:left w:w="50" w:type="dxa"/>
              <w:bottom w:w="40" w:type="dxa"/>
              <w:right w:w="50" w:type="dxa"/>
            </w:tcMar>
            <w:vAlign w:val="center"/>
          </w:tcPr>
          <w:p ns2:paraId="316699D2">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财政风险、债务约束、隐性债务、底线管理</w:t>
            </w:r>
          </w:p>
        </w:tc>
        <w:tc>
          <w:tcPr>
            <w:tcW w:w="2078" w:type="dxa"/>
            <w:tcBorders>
              <w:top w:val="nil"/>
              <w:left w:val="nil"/>
              <w:bottom w:val="nil"/>
              <w:right w:val="nil"/>
            </w:tcBorders>
            <w:noWrap w:val="0"/>
            <w:tcMar>
              <w:top w:w="40" w:type="dxa"/>
              <w:left w:w="50" w:type="dxa"/>
              <w:bottom w:w="40" w:type="dxa"/>
              <w:right w:w="50" w:type="dxa"/>
            </w:tcMar>
            <w:vAlign w:val="center"/>
          </w:tcPr>
          <w:p ns2:paraId="329DF108">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财政风险、债务风险、隐性债务、底线管理、责任边界</w:t>
            </w:r>
          </w:p>
        </w:tc>
        <w:tc>
          <w:tcPr>
            <w:tcW w:w="1358" w:type="dxa"/>
            <w:tcBorders>
              <w:top w:val="nil"/>
              <w:left w:val="nil"/>
              <w:bottom w:val="nil"/>
              <w:right w:val="nil"/>
            </w:tcBorders>
            <w:noWrap w:val="0"/>
            <w:tcMar>
              <w:top w:w="40" w:type="dxa"/>
              <w:left w:w="50" w:type="dxa"/>
              <w:bottom w:w="40" w:type="dxa"/>
              <w:right w:w="50" w:type="dxa"/>
            </w:tcMar>
            <w:vAlign w:val="center"/>
          </w:tcPr>
          <w:p ns2:paraId="778DAA5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D1_idx / D_idx</w:t>
            </w:r>
          </w:p>
        </w:tc>
      </w:tr>
      <w:tr ns2:paraId="2215FA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nil"/>
              <w:right w:val="nil"/>
            </w:tcBorders>
            <w:noWrap w:val="0"/>
            <w:tcMar>
              <w:top w:w="40" w:type="dxa"/>
              <w:left w:w="50" w:type="dxa"/>
              <w:bottom w:w="40" w:type="dxa"/>
              <w:right w:w="50" w:type="dxa"/>
            </w:tcMar>
            <w:vAlign w:val="center"/>
          </w:tcPr>
          <w:p ns2:paraId="21AD889C">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nil"/>
              <w:right w:val="nil"/>
            </w:tcBorders>
            <w:noWrap w:val="0"/>
            <w:tcMar>
              <w:top w:w="40" w:type="dxa"/>
              <w:left w:w="50" w:type="dxa"/>
              <w:bottom w:w="40" w:type="dxa"/>
              <w:right w:w="50" w:type="dxa"/>
            </w:tcMar>
            <w:vAlign w:val="center"/>
          </w:tcPr>
          <w:p ns2:paraId="24FF165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w:t>
            </w:r>
          </w:p>
        </w:tc>
        <w:tc>
          <w:tcPr>
            <w:tcW w:w="0" w:type="auto"/>
            <w:tcBorders>
              <w:top w:val="nil"/>
              <w:left w:val="nil"/>
              <w:bottom w:val="nil"/>
              <w:right w:val="nil"/>
            </w:tcBorders>
            <w:noWrap w:val="0"/>
            <w:tcMar>
              <w:top w:w="40" w:type="dxa"/>
              <w:left w:w="50" w:type="dxa"/>
              <w:bottom w:w="40" w:type="dxa"/>
              <w:right w:w="50" w:type="dxa"/>
            </w:tcMar>
            <w:vAlign w:val="center"/>
          </w:tcPr>
          <w:p ns2:paraId="5640E6B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违约失灵、终止补偿与退出机制</w:t>
            </w:r>
          </w:p>
        </w:tc>
        <w:tc>
          <w:tcPr>
            <w:tcW w:w="1956" w:type="dxa"/>
            <w:tcBorders>
              <w:top w:val="nil"/>
              <w:left w:val="nil"/>
              <w:bottom w:val="nil"/>
              <w:right w:val="nil"/>
            </w:tcBorders>
            <w:noWrap w:val="0"/>
            <w:tcMar>
              <w:top w:w="40" w:type="dxa"/>
              <w:left w:w="50" w:type="dxa"/>
              <w:bottom w:w="40" w:type="dxa"/>
              <w:right w:w="50" w:type="dxa"/>
            </w:tcMar>
            <w:vAlign w:val="center"/>
          </w:tcPr>
          <w:p ns2:paraId="6EA3C54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违约、提前终止、补偿、退出、重组与失败项目处置</w:t>
            </w:r>
          </w:p>
        </w:tc>
        <w:tc>
          <w:tcPr>
            <w:tcW w:w="2078" w:type="dxa"/>
            <w:tcBorders>
              <w:top w:val="nil"/>
              <w:left w:val="nil"/>
              <w:bottom w:val="nil"/>
              <w:right w:val="nil"/>
            </w:tcBorders>
            <w:noWrap w:val="0"/>
            <w:tcMar>
              <w:top w:w="40" w:type="dxa"/>
              <w:left w:w="50" w:type="dxa"/>
              <w:bottom w:w="40" w:type="dxa"/>
              <w:right w:w="50" w:type="dxa"/>
            </w:tcMar>
            <w:vAlign w:val="center"/>
          </w:tcPr>
          <w:p ns2:paraId="1C81854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违约、终止、补偿、退出、解约、清算、风险处置</w:t>
            </w:r>
          </w:p>
        </w:tc>
        <w:tc>
          <w:tcPr>
            <w:tcW w:w="1358" w:type="dxa"/>
            <w:tcBorders>
              <w:top w:val="nil"/>
              <w:left w:val="nil"/>
              <w:bottom w:val="nil"/>
              <w:right w:val="nil"/>
            </w:tcBorders>
            <w:noWrap w:val="0"/>
            <w:tcMar>
              <w:top w:w="40" w:type="dxa"/>
              <w:left w:w="50" w:type="dxa"/>
              <w:bottom w:w="40" w:type="dxa"/>
              <w:right w:w="50" w:type="dxa"/>
            </w:tcMar>
            <w:vAlign w:val="center"/>
          </w:tcPr>
          <w:p ns2:paraId="44376EC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D2_idx / D_idx</w:t>
            </w:r>
          </w:p>
        </w:tc>
      </w:tr>
      <w:tr ns2:paraId="1075E2C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67" w:hRule="atLeast"/>
          <w:jc w:val="center"/>
        </w:trPr>
        <w:tc>
          <w:tcPr>
            <w:tcW w:w="938" w:type="dxa"/>
            <w:tcBorders>
              <w:top w:val="nil"/>
              <w:left w:val="nil"/>
              <w:bottom w:val="single" w:color="auto" w:sz="12" w:space="0"/>
              <w:right w:val="nil"/>
            </w:tcBorders>
            <w:noWrap w:val="0"/>
            <w:tcMar>
              <w:top w:w="40" w:type="dxa"/>
              <w:left w:w="50" w:type="dxa"/>
              <w:bottom w:w="40" w:type="dxa"/>
              <w:right w:w="50" w:type="dxa"/>
            </w:tcMar>
            <w:vAlign w:val="center"/>
          </w:tcPr>
          <w:p ns2:paraId="206E10D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w:t>
            </w:r>
          </w:p>
        </w:tc>
        <w:tc>
          <w:tcPr>
            <w:tcW w:w="938" w:type="dxa"/>
            <w:tcBorders>
              <w:top w:val="nil"/>
              <w:left w:val="nil"/>
              <w:bottom w:val="single" w:color="auto" w:sz="12" w:space="0"/>
              <w:right w:val="nil"/>
            </w:tcBorders>
            <w:noWrap w:val="0"/>
            <w:tcMar>
              <w:top w:w="40" w:type="dxa"/>
              <w:left w:w="50" w:type="dxa"/>
              <w:bottom w:w="40" w:type="dxa"/>
              <w:right w:w="50" w:type="dxa"/>
            </w:tcMar>
            <w:vAlign w:val="center"/>
          </w:tcPr>
          <w:p ns2:paraId="0D1E66DB">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w:t>
            </w:r>
          </w:p>
        </w:tc>
        <w:tc>
          <w:tcPr>
            <w:tcW w:w="1462" w:type="dxa"/>
            <w:tcBorders>
              <w:top w:val="nil"/>
              <w:left w:val="nil"/>
              <w:bottom w:val="single" w:color="auto" w:sz="12" w:space="0"/>
              <w:right w:val="nil"/>
            </w:tcBorders>
            <w:noWrap w:val="0"/>
            <w:tcMar>
              <w:top w:w="40" w:type="dxa"/>
              <w:left w:w="50" w:type="dxa"/>
              <w:bottom w:w="40" w:type="dxa"/>
              <w:right w:w="50" w:type="dxa"/>
            </w:tcMar>
            <w:vAlign w:val="center"/>
          </w:tcPr>
          <w:p ns2:paraId="41559600">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监督检查、整改清退与问责纠偏</w:t>
            </w:r>
          </w:p>
        </w:tc>
        <w:tc>
          <w:tcPr>
            <w:tcW w:w="1956" w:type="dxa"/>
            <w:tcBorders>
              <w:top w:val="nil"/>
              <w:left w:val="nil"/>
              <w:bottom w:val="single" w:color="auto" w:sz="12" w:space="0"/>
              <w:right w:val="nil"/>
            </w:tcBorders>
            <w:noWrap w:val="0"/>
            <w:tcMar>
              <w:top w:w="40" w:type="dxa"/>
              <w:left w:w="50" w:type="dxa"/>
              <w:bottom w:w="40" w:type="dxa"/>
              <w:right w:w="50" w:type="dxa"/>
            </w:tcMar>
            <w:vAlign w:val="center"/>
          </w:tcPr>
          <w:p ns2:paraId="37C05E93">
            <w:pPr>
              <w:snapToGrid w:val="0"/>
              <w:spacing w:before="0" w:after="0" w:line="240" w:lineRule="auto"/>
              <w:ind w:left="0" w:leftChars="0" w:right="0" w:rightChars="0" w:firstLine="0" w:firstLineChars="0"/>
              <w:jc w:val="left"/>
              <w:rPr>
                <w:rFonts w:ascii="Noto Serif CJK SC" w:eastAsia="Noto Serif CJK SC"/>
                <w:sz w:val="21"/>
                <w:szCs w:val="21"/>
              </w:rPr>
            </w:pPr>
            <w:r>
              <w:rPr>
                <w:rFonts w:ascii="Noto Serif CJK SC" w:hAnsi="Noto Serif CJK SC" w:eastAsia="Noto Serif CJK SC"/>
                <w:b w:val="0"/>
                <w:sz w:val="21"/>
                <w:szCs w:val="21"/>
              </w:rPr>
              <w:t>监管、审计、整改、清退、责任追究与纠偏</w:t>
            </w:r>
          </w:p>
        </w:tc>
        <w:tc>
          <w:tcPr>
            <w:tcW w:w="2078" w:type="dxa"/>
            <w:tcBorders>
              <w:top w:val="nil"/>
              <w:left w:val="nil"/>
              <w:bottom w:val="single" w:color="auto" w:sz="12" w:space="0"/>
              <w:right w:val="nil"/>
            </w:tcBorders>
            <w:noWrap w:val="0"/>
            <w:tcMar>
              <w:top w:w="40" w:type="dxa"/>
              <w:left w:w="50" w:type="dxa"/>
              <w:bottom w:w="40" w:type="dxa"/>
              <w:right w:w="50" w:type="dxa"/>
            </w:tcMar>
            <w:vAlign w:val="center"/>
          </w:tcPr>
          <w:p ns2:paraId="62378D37">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监管、审计、督查、整改、清退、问责、黑名单</w:t>
            </w:r>
          </w:p>
        </w:tc>
        <w:tc>
          <w:tcPr>
            <w:tcW w:w="1358" w:type="dxa"/>
            <w:tcBorders>
              <w:top w:val="nil"/>
              <w:left w:val="nil"/>
              <w:bottom w:val="single" w:color="auto" w:sz="12" w:space="0"/>
              <w:right w:val="nil"/>
            </w:tcBorders>
            <w:noWrap w:val="0"/>
            <w:tcMar>
              <w:top w:w="40" w:type="dxa"/>
              <w:left w:w="50" w:type="dxa"/>
              <w:bottom w:w="40" w:type="dxa"/>
              <w:right w:w="50" w:type="dxa"/>
            </w:tcMar>
            <w:vAlign w:val="center"/>
          </w:tcPr>
          <w:p ns2:paraId="34B5AA39">
            <w:pPr>
              <w:snapToGrid w:val="0"/>
              <w:spacing w:before="0" w:after="0" w:line="240" w:lineRule="auto"/>
              <w:ind w:left="0" w:leftChars="0" w:right="0" w:rightChars="0" w:firstLine="0" w:firstLineChars="0"/>
              <w:jc w:val="center"/>
              <w:rPr>
                <w:rFonts w:ascii="Noto Serif CJK SC" w:eastAsia="Noto Serif CJK SC"/>
                <w:sz w:val="21"/>
                <w:szCs w:val="21"/>
              </w:rPr>
            </w:pPr>
            <w:r>
              <w:rPr>
                <w:rFonts w:ascii="Noto Serif CJK SC" w:hAnsi="Noto Serif CJK SC" w:eastAsia="Noto Serif CJK SC"/>
                <w:b w:val="0"/>
                <w:sz w:val="21"/>
                <w:szCs w:val="21"/>
              </w:rPr>
              <w:t>D3_idx / D_idx</w:t>
            </w:r>
          </w:p>
        </w:tc>
      </w:tr>
    </w:tbl>
    <w:p ns2:paraId="76019701">
      <w:pPr>
        <w:spacing w:before="0" w:after="0" w:line="420" w:lineRule="auto"/>
        <w:ind w:firstLine="420"/>
        <w:jc w:val="both"/>
      </w:pPr>
      <w:r>
        <w: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w:t>
      </w:r>
    </w:p>
    <w:p ns2:paraId="61F15984">
      <w:pPr>
        <w:spacing w:before="60" w:after="60" w:line="360" w:lineRule="auto"/>
        <w:jc w:val="center"/>
      </w:pPr>
      <w:r>
        <w: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w:drawing>
      </w:r>
    </w:p>
    <w:p ns2:paraId="408A08DA">
      <w:pPr>
        <w:spacing w:before="0" w:after="60" w:line="420" w:lineRule="auto"/>
        <w:jc w:val="center"/>
      </w:pPr>
      <w:r>
        <w: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w:t>
      </w:r>
    </w:p>
    <w:p ns2:paraId="472CB685">
      <w:pPr>
        <w:spacing w:before="60" w:after="60" w:line="360" w:lineRule="auto"/>
        <w:jc w:val="center"/>
      </w:pPr>
      <w:r>
        <w: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w:drawing>
      </w:r>
    </w:p>
    <w:p ns2:paraId="6620257A">
      <w:pPr>
        <w:spacing w:before="100" w:after="40" w:line="420" w:lineRule="auto"/>
        <w:jc w:val="left"/>
      </w:pPr>
      <w:r>
        <w:t>4.3 处理变量、结果变量与控制变量</w:t>
      </w:r>
    </w:p>
    <w:p ns2:paraId="77BE2D78">
      <w:pPr>
        <w:spacing w:before="0" w:after="0" w:line="420" w:lineRule="auto"/>
        <w:ind w:firstLine="420"/>
        <w:jc w:val="both"/>
      </w:pPr>
      <w:r>
        <w:t>在主识别部分，本文的核心处理变量是treat_share。该变量以省—年为单位，度量在某一时期内受政务服务数字化改革影响的处理强度，形式上可理解为省级样本中处理状态的占比。与之相对应，did_any和did_intensity仅作为替代处理口径或稳健性检验使用，不进入全文主结论。这样处理的原因在于，treat_share能够更直接地反映改革在省级治理层面的覆盖程度和处理强度，也与后文多期DID/TWFE主识别保持一致。</w:t>
      </w:r>
    </w:p>
    <w:p ns2:paraId="450D60BB">
      <w:pPr>
        <w:spacing w:before="0" w:after="0" w:line="420" w:lineRule="auto"/>
        <w:ind w:firstLine="420"/>
        <w:jc w:val="both"/>
      </w:pPr>
      <w:r>
        <w: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w:t>
      </w:r>
    </w:p>
    <w:p ns2:paraId="15049706">
      <w:pPr>
        <w:spacing w:before="0" w:after="0" w:line="420" w:lineRule="auto"/>
        <w:ind w:firstLine="420"/>
        <w:jc w:val="both"/>
      </w:pPr>
      <w:r>
        <w: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w:t>
      </w:r>
    </w:p>
    <w:p ns2:paraId="15049706">
      <w:pPr>
        <w:spacing w:before="0" w:after="0" w:line="420" w:lineRule="auto"/>
        <w:ind w:firstLine="420"/>
        <w:jc w:val="both"/>
      </w:pPr>
      <w:r>
        <w: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w:t>
      </w:r>
    </w:p>
    <w:p ns2:paraId="15049706">
      <w:pPr>
        <w:spacing w:before="0" w:after="0" w:line="420" w:lineRule="auto"/>
        <w:ind w:firstLine="420"/>
        <w:jc w:val="both"/>
      </w:pPr>
      <w:r>
        <w: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w:t>
      </w:r>
    </w:p>
    <w:p ns2:paraId="33DB0F42">
      <w:pPr>
        <w:spacing w:before="100" w:after="40" w:line="420" w:lineRule="auto"/>
        <w:jc w:val="left"/>
      </w:pPr>
      <w:r>
        <w:t>4.4 计量模型与识别思路</w:t>
      </w:r>
    </w:p>
    <w:p ns2:paraId="3B3BC3BA">
      <w:pPr>
        <w:spacing w:before="0" w:after="0" w:line="420" w:lineRule="auto"/>
        <w:ind w:firstLine="420"/>
        <w:jc w:val="both"/>
      </w:pPr>
      <w:r>
        <w:t>本文的主识别模型是以treat_share为核心处理变量的多期DID/TWFE模型。形式上，模型以省级结果变量为被解释变量，在控制地区固定效应、年份固定效应及相关控制变量后，识别政务服务数字化改革处理强度变化对PPP推进结构和治理表现的影响。之所以将其作为唯一主识别，原因有二：一是当前正式结果和写作总控文档都明确将treat_share多期DID/TWFE设定为全文唯一主模型；二是这一模型与本文“改革冲击—治理过程变化—推进结构调整”的问题结构最为契合。</w:t>
      </w:r>
    </w:p>
    <w:p ns2:paraId="1A6E6399">
      <w:pPr>
        <w:spacing w:before="0" w:after="0" w:line="420" w:lineRule="auto"/>
        <w:ind w:firstLine="420"/>
        <w:jc w:val="both"/>
      </w:pPr>
      <w:r>
        <w:t>需要强调的是，本文对识别强度的处理是克制的。首先，本文并不把事件研究结果写成“前趋势风险已被充分排除”的强证据，而仅将其用作动态路径和识别边界说明。其次，DML、PSM-DID和工具变量可行性筛查等方法虽在后文出现，但其角色仅限于稳健性补充、敏感性诊断或识别边界评估，而不改变主识别结构。再次，文本分析及其衍生变量在研究设计中的功能，是为治理测度和机制解释提供输入，而不是直接承担因果识别任务。</w:t>
      </w:r>
    </w:p>
    <w:p ns2:paraId="1A6E6399">
      <w:pPr>
        <w:spacing w:before="0" w:after="0" w:line="420" w:lineRule="auto"/>
        <w:ind w:firstLine="420"/>
        <w:jc w:val="both"/>
      </w:pPr>
      <w:r>
        <w: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多种规格下保持稳定”，扩展分析回答“文本与结构变量是否还能服务于项目级辅助识别”。这种分层安排，构成了后文实证分析的基本结构。</w:t>
      </w:r>
    </w:p>
    <w:p ns2:paraId="1A6E6399">
      <w:pPr>
        <w:spacing w:before="0" w:after="0" w:line="420" w:lineRule="auto"/>
        <w:ind w:firstLine="420"/>
        <w:jc w:val="both"/>
      </w:pPr>
      <w:r>
        <w:t>从制度冲击型改革的经验研究看，识别的关键不在于为每一项改革寻找单独政策文本冲击，而在于在固定样本、统一控制变量和双向固定效应框架中，检验改革强度变化是否伴随结果结构的系统调整。本文对treat_share的处理正是遵循这一思路：把数字化改革理解为影响地方治理能力配置与流程环境的制度性冲击，再通过面板框架识别其对PPP推进结构的平均影响。与之相应，后文的趋势调整型 DID、逐省剔除和更保守推断都只承担主识别防守功能，而不构成另起一套识别逻辑。</w:t>
      </w:r>
    </w:p>
    <w:p ns2:paraId="41817273">
      <w:pPr>
        <w:spacing w:before="160" w:after="60" w:line="420" w:lineRule="auto"/>
        <w:jc w:val="left"/>
      </w:pPr>
      <w:r>
        <w:t>5 实证结果与分析</w:t>
      </w:r>
    </w:p>
    <w:p ns2:paraId="573CDD58">
      <w:pPr>
        <w:spacing w:before="100" w:after="40" w:line="420" w:lineRule="auto"/>
        <w:jc w:val="left"/>
      </w:pPr>
      <w:r>
        <w:t>5.1 描述性事实与治理过程背景</w:t>
      </w:r>
    </w:p>
    <w:p ns2:paraId="3909E3AF">
      <w:pPr>
        <w:spacing w:before="0" w:after="0" w:line="420" w:lineRule="auto"/>
        <w:ind w:firstLine="420"/>
        <w:jc w:val="both"/>
      </w:pPr>
      <w: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ns2:paraId="5F796F87">
      <w:pPr>
        <w:spacing w:before="0" w:after="0" w:line="420" w:lineRule="auto"/>
        <w:ind w:firstLine="420"/>
        <w:jc w:val="both"/>
      </w:pPr>
      <w:r>
        <w: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w:t>
      </w:r>
    </w:p>
    <w:p ns2:paraId="372507D8">
      <w:pPr>
        <w:spacing w:before="60" w:after="60" w:line="360" w:lineRule="auto"/>
        <w:jc w:val="center"/>
      </w:pPr>
      <w:r>
        <w: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w:drawing>
      </w:r>
    </w:p>
    <w:p ns2:paraId="0CE02DDB">
      <w:pPr>
        <w:spacing w:before="0" w:after="60" w:line="420" w:lineRule="auto"/>
        <w:jc w:val="center"/>
      </w:pPr>
      <w:r>
        <w: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w:t>
      </w:r>
    </w:p>
    <w:p ns2:paraId="4766A052">
      <w:pPr>
        <w:spacing w:before="0" w:after="0" w:line="420" w:lineRule="auto"/>
        <w:ind w:firstLine="420"/>
        <w:jc w:val="both"/>
      </w:pPr>
      <w:r>
        <w: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w:t>
      </w:r>
    </w:p>
    <w:p ns2:paraId="3D8A4E4F">
      <w:pPr>
        <w:spacing w:before="60" w:after="60" w:line="360" w:lineRule="auto"/>
        <w:jc w:val="center"/>
      </w:pPr>
      <w:r>
        <w: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w:drawing>
      </w:r>
    </w:p>
    <w:p ns2:paraId="4C36B422">
      <w:pPr>
        <w:spacing w:before="60" w:after="60" w:line="360" w:lineRule="auto"/>
        <w:jc w:val="center"/>
        <w:rPr>
          <w:rFonts w:hint="eastAsia" w:eastAsia="宋体"/>
          <w:lang w:eastAsia="zh-CN"/>
        </w:rPr>
      </w:pPr>
      <w:r>
        <w:rPr>
          <w:rFonts w:hint="eastAsia" w:eastAsia="宋体"/>
          <w:lang w:eastAsia="zh-CN"/>
        </w:rPr>
        <w: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w:drawing>
      </w:r>
    </w:p>
    <w:p ns2:paraId="137712D3">
      <w:pPr>
        <w:spacing w:before="100" w:after="40" w:line="420" w:lineRule="auto"/>
        <w:jc w:val="left"/>
      </w:pPr>
      <w:r>
        <w:t>5.2 基准结果</w:t>
      </w:r>
    </w:p>
    <w:p ns2:paraId="480BBAA2">
      <w:pPr>
        <w:spacing w:before="0" w:after="0" w:line="420" w:lineRule="auto"/>
        <w:ind w:firstLine="420"/>
        <w:jc w:val="both"/>
      </w:pPr>
      <w: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ns2:paraId="64C18C6B">
      <w:pPr>
        <w:spacing w:before="0" w:after="0" w:line="420" w:lineRule="auto"/>
        <w:ind w:firstLine="420"/>
        <w:jc w:val="both"/>
      </w:pPr>
      <w:r>
        <w:t>表4报告了基准多期DID/TWFE结果。结果显示，treat_share对exec_share的估计系数为0.3556，在1%水平上显著；对proc_share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w:t>
      </w:r>
    </w:p>
    <w:p ns2:paraId="5714222D">
      <w:pPr>
        <w:spacing w:before="0" w:after="40" w:line="420" w:lineRule="auto"/>
        <w:jc w:val="center"/>
      </w:pPr>
      <w:r>
        <w: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932"/>
        <w:gridCol w:w="1878"/>
        <w:gridCol w:w="1369"/>
        <w:gridCol w:w="840"/>
        <w:gridCol w:w="525"/>
        <w:gridCol w:w="705"/>
        <w:gridCol w:w="1273"/>
      </w:tblGrid>
      <w:tr ns2:paraId="1D03221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02A7941D">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187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4AB9DB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treat_share系数</w:t>
            </w:r>
          </w:p>
        </w:tc>
        <w:tc>
          <w:tcPr>
            <w:tcW w:w="13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93CCC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聚类标准误</w:t>
            </w:r>
          </w:p>
        </w:tc>
        <w:tc>
          <w:tcPr>
            <w:tcW w:w="84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2C24874">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p值</w:t>
            </w:r>
          </w:p>
        </w:tc>
        <w:tc>
          <w:tcPr>
            <w:tcW w:w="52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048F28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705"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E460DC9">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R²</w:t>
            </w:r>
          </w:p>
        </w:tc>
        <w:tc>
          <w:tcPr>
            <w:tcW w:w="127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4BB53A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写作口径</w:t>
            </w:r>
          </w:p>
        </w:tc>
      </w:tr>
      <w:tr ns2:paraId="709B1AE8">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F39A876">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187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AD83FCE">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0.3556***</w:t>
            </w:r>
          </w:p>
        </w:tc>
        <w:tc>
          <w:tcPr>
            <w:tcW w:w="13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FC2CA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(0.1002)</w:t>
            </w:r>
          </w:p>
        </w:tc>
        <w:tc>
          <w:tcPr>
            <w:tcW w:w="84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01A549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4E1886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7E9CA3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0.839</w:t>
            </w:r>
          </w:p>
        </w:tc>
        <w:tc>
          <w:tcPr>
            <w:tcW w:w="127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54C62A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ns2:paraId="601857D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CA9744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1879" w:type="dxa"/>
            <w:tcBorders>
              <w:top w:val="nil"/>
              <w:left w:val="nil"/>
              <w:bottom w:val="nil"/>
              <w:right w:val="nil"/>
            </w:tcBorders>
            <w:shd w:val="clear" w:color="auto" w:fill="FFFFFF"/>
            <w:noWrap w:val="0"/>
            <w:tcMar>
              <w:top w:w="-1" w:type="dxa"/>
              <w:left w:w="-1" w:type="dxa"/>
              <w:bottom w:w="-1" w:type="dxa"/>
              <w:right w:w="-1" w:type="dxa"/>
            </w:tcMar>
            <w:vAlign w:val="center"/>
          </w:tcPr>
          <w:p ns2:paraId="6F96B65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-0.4023***</w:t>
            </w:r>
          </w:p>
        </w:tc>
        <w:tc>
          <w:tcPr>
            <w:tcW w:w="1369" w:type="dxa"/>
            <w:tcBorders>
              <w:top w:val="nil"/>
              <w:left w:val="nil"/>
              <w:bottom w:val="nil"/>
              <w:right w:val="nil"/>
            </w:tcBorders>
            <w:shd w:val="clear" w:color="auto" w:fill="FFFFFF"/>
            <w:noWrap w:val="0"/>
            <w:tcMar>
              <w:top w:w="-1" w:type="dxa"/>
              <w:left w:w="-1" w:type="dxa"/>
              <w:bottom w:w="-1" w:type="dxa"/>
              <w:right w:w="-1" w:type="dxa"/>
            </w:tcMar>
            <w:vAlign w:val="center"/>
          </w:tcPr>
          <w:p ns2:paraId="21FC6B6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(0.1019)</w:t>
            </w:r>
          </w:p>
        </w:tc>
        <w:tc>
          <w:tcPr>
            <w:tcW w:w="840" w:type="dxa"/>
            <w:tcBorders>
              <w:top w:val="nil"/>
              <w:left w:val="nil"/>
              <w:bottom w:val="nil"/>
              <w:right w:val="nil"/>
            </w:tcBorders>
            <w:shd w:val="clear" w:color="auto" w:fill="FFFFFF"/>
            <w:noWrap w:val="0"/>
            <w:tcMar>
              <w:top w:w="-1" w:type="dxa"/>
              <w:left w:w="-1" w:type="dxa"/>
              <w:bottom w:w="-1" w:type="dxa"/>
              <w:right w:w="-1" w:type="dxa"/>
            </w:tcMar>
            <w:vAlign w:val="center"/>
          </w:tcPr>
          <w:p ns2:paraId="52B8E94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&lt;0.001</w:t>
            </w:r>
          </w:p>
        </w:tc>
        <w:tc>
          <w:tcPr>
            <w:tcW w:w="525" w:type="dxa"/>
            <w:tcBorders>
              <w:top w:val="nil"/>
              <w:left w:val="nil"/>
              <w:bottom w:val="nil"/>
              <w:right w:val="nil"/>
            </w:tcBorders>
            <w:shd w:val="clear" w:color="auto" w:fill="FFFFFF"/>
            <w:noWrap w:val="0"/>
            <w:tcMar>
              <w:top w:w="-1" w:type="dxa"/>
              <w:left w:w="-1" w:type="dxa"/>
              <w:bottom w:w="-1" w:type="dxa"/>
              <w:right w:w="-1" w:type="dxa"/>
            </w:tcMar>
            <w:vAlign w:val="center"/>
          </w:tcPr>
          <w:p ns2:paraId="2C9AA6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nil"/>
              <w:right w:val="nil"/>
            </w:tcBorders>
            <w:shd w:val="clear" w:color="auto" w:fill="FFFFFF"/>
            <w:noWrap w:val="0"/>
            <w:tcMar>
              <w:top w:w="-1" w:type="dxa"/>
              <w:left w:w="-1" w:type="dxa"/>
              <w:bottom w:w="-1" w:type="dxa"/>
              <w:right w:w="-1" w:type="dxa"/>
            </w:tcMar>
            <w:vAlign w:val="center"/>
          </w:tcPr>
          <w:p ns2:paraId="487756C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0.844</w:t>
            </w:r>
          </w:p>
        </w:tc>
        <w:tc>
          <w:tcPr>
            <w:tcW w:w="1274" w:type="dxa"/>
            <w:tcBorders>
              <w:top w:val="nil"/>
              <w:left w:val="nil"/>
              <w:bottom w:val="nil"/>
              <w:right w:val="nil"/>
            </w:tcBorders>
            <w:shd w:val="clear" w:color="auto" w:fill="FFFFFF"/>
            <w:noWrap w:val="0"/>
            <w:tcMar>
              <w:top w:w="-1" w:type="dxa"/>
              <w:left w:w="-1" w:type="dxa"/>
              <w:bottom w:w="-1" w:type="dxa"/>
              <w:right w:w="-1" w:type="dxa"/>
            </w:tcMar>
            <w:vAlign w:val="center"/>
          </w:tcPr>
          <w:p ns2:paraId="7866423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主结果</w:t>
            </w:r>
          </w:p>
        </w:tc>
      </w:tr>
      <w:tr ns2:paraId="1998A8F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2C5078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87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75CF37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0.5253</w:t>
            </w:r>
          </w:p>
        </w:tc>
        <w:tc>
          <w:tcPr>
            <w:tcW w:w="13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238AE2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(0.4214)</w:t>
            </w:r>
          </w:p>
        </w:tc>
        <w:tc>
          <w:tcPr>
            <w:tcW w:w="84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C623C6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0.213</w:t>
            </w:r>
          </w:p>
        </w:tc>
        <w:tc>
          <w:tcPr>
            <w:tcW w:w="5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86D033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70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9093F8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0.613</w:t>
            </w:r>
          </w:p>
        </w:tc>
        <w:tc>
          <w:tcPr>
            <w:tcW w:w="127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D049FE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方向为正但统计不稳</w:t>
            </w:r>
          </w:p>
        </w:tc>
      </w:tr>
    </w:tbl>
    <w:p ns2:paraId="362FEDA8">
      <w:pPr>
        <w:spacing w:before="0" w:after="0" w:line="420" w:lineRule="auto"/>
        <w:ind w:firstLine="420"/>
        <w:jc w:val="both"/>
      </w:pPr>
      <w:r>
        <w:t>基准结果对公共管理研究的含义在于，数字化改革的现实作用更接近于优化政府内部流程衔接和项目推进程序，而非立即改变所有治理结果。与此同时，也必须保持边界控制：表4所识别的是推进结构和治理过程的净效应，不支持将改革表述为“全面改善PPP治理质量”的强断言。</w:t>
      </w:r>
    </w:p>
    <w:p ns2:paraId="25B069EB">
      <w:pPr>
        <w:spacing w:before="60" w:after="60" w:line="360" w:lineRule="auto"/>
        <w:jc w:val="center"/>
      </w:pPr>
      <w:r>
        <w: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w:drawing>
      </w:r>
    </w:p>
    <w:p ns2:paraId="515580B5">
      <w:pPr>
        <w:spacing w:before="100" w:after="40" w:line="420" w:lineRule="auto"/>
        <w:jc w:val="left"/>
      </w:pPr>
      <w:r>
        <w:t>5.3 动态路径与识别边界</w:t>
      </w:r>
    </w:p>
    <w:p ns2:paraId="7EF0702B">
      <w:pPr>
        <w:spacing w:before="0" w:after="0" w:line="420" w:lineRule="auto"/>
        <w:ind w:firstLine="420"/>
        <w:jc w:val="both"/>
      </w:pPr>
      <w: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ns2:paraId="2E4A3FBC">
      <w:pPr>
        <w:spacing w:before="0" w:after="0" w:line="420" w:lineRule="auto"/>
        <w:ind w:firstLine="420"/>
        <w:jc w:val="both"/>
      </w:pPr>
      <w:r>
        <w:t>从动态结果看，exec_share和proc_share在处理后呈现出与基准结果一致的方向：执行阶段占比逐步上升，采购阶段占比相应下降，说明改革效应更接近于一类随时间推进而逐步释放的治理过程重组。然而，需要同时指出的是，处理前若干期的领先项并非完全平稳。特别是exec_share和proc_share在&lt;=-2窗口上的领先系数已经显示出统计显著，这意味着当前事件研究结果不能被解释为“前趋势问题已经消失”的强证据。</w:t>
      </w:r>
    </w:p>
    <w:p ns2:paraId="46BD8458">
      <w:pPr>
        <w:spacing w:before="0" w:after="40" w:line="420" w:lineRule="auto"/>
        <w:jc w:val="center"/>
      </w:pPr>
      <w:r>
        <w:t>这一结论并不推翻基准结果，但它对写作口径提出了明确约束。第一，动态结果可以用来说明改革影响的时间路径，即治理过程重组并非瞬时完成，而是具有一定展开过程。第二，动态结果也提示识别边界仍然存在，尤其是处理前差异不能被完全排除。第三，对ppp_quality_zindex而言，动态路径同样未形成稳定显著的支持。因此，本文对事件研究的处理方式是克制的：它只作为路径展示和识别限制说明，而不作为强因果识别的附加背书。</w:t>
      </w:r>
    </w:p>
    <w:tbl>
      <w:tblPr>
        <w:tblStyle w:val="2"/>
        <w:tblW w:w="9919"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768"/>
        <w:gridCol w:w="1369"/>
        <w:gridCol w:w="1369"/>
        <w:gridCol w:w="1370"/>
        <w:gridCol w:w="1370"/>
        <w:gridCol w:w="1370"/>
        <w:gridCol w:w="1303"/>
      </w:tblGrid>
      <w:tr ns2:paraId="6F918967">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1417"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2A16FF00">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结果变量</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C566F41">
            <w:pPr>
              <w:snapToGrid w:val="0"/>
              <w:spacing w:before="0" w:after="0" w:line="240" w:lineRule="auto"/>
              <w:ind w:left="0" w:leftChars="0" w:right="0" w:rightChars="0" w:firstLine="0" w:firstLineChars="0"/>
              <w:jc w:val="center"/>
              <w:rPr>
                <w:rFonts w:ascii="Times New Roman" w:hAnsi="Times New Roman" w:eastAsia="宋体"/>
                <w:b/>
                <w:color w:val="000000"/>
                <w:sz w:val="22"/>
                <w:szCs w:val="22"/>
              </w:rPr>
            </w:pPr>
            <w:r>
              <w:rPr>
                <w:rFonts w:ascii="Times New Roman" w:hAnsi="Times New Roman" w:eastAsia="宋体"/>
                <w:b/>
                <w:color w:val="000000"/>
                <w:sz w:val="22"/>
                <w:szCs w:val="22"/>
              </w:rPr>
              <w:t>处理前</w:t>
            </w:r>
          </w:p>
          <w:p ns2:paraId="799CBD7B">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(&lt;=-2)</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F8A62B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当期(0)</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AD48DFD">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后1期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8BB3A13">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后2期</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510F93A">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后3期及以上</w:t>
            </w:r>
          </w:p>
        </w:tc>
        <w:tc>
          <w:tcPr>
            <w:tcW w:w="1417"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3D251CD9">
            <w:pPr>
              <w:snapToGrid w:val="0"/>
              <w:spacing w:before="0" w:after="0" w:line="240" w:lineRule="auto"/>
              <w:ind w:left="0" w:leftChars="0" w:right="0" w:rightChars="0" w:firstLine="0" w:firstLineChars="0"/>
              <w:jc w:val="center"/>
              <w:rPr>
                <w:rFonts w:ascii="Times New Roman" w:eastAsia="宋体"/>
                <w:b/>
                <w:color w:val="000000"/>
                <w:sz w:val="22"/>
                <w:szCs w:val="22"/>
              </w:rPr>
            </w:pPr>
            <w:r>
              <w:rPr>
                <w:rFonts w:ascii="Times New Roman" w:hAnsi="Times New Roman" w:eastAsia="宋体"/>
                <w:b/>
                <w:color w:val="000000"/>
                <w:sz w:val="22"/>
                <w:szCs w:val="22"/>
              </w:rPr>
              <w:t>识别边界说明</w:t>
            </w:r>
          </w:p>
        </w:tc>
      </w:tr>
      <w:tr ns2:paraId="47E12AD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DFFE6B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exec_share</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A7FAD7E">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-0.1469** [p=0.013]</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E8C84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0.4751***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47A4DF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-0.4382***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281B88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-0.4357***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8E385F5">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-0.6041*** [p=&lt;0.001]</w:t>
            </w:r>
          </w:p>
        </w:tc>
        <w:tc>
          <w:tcPr>
            <w:tcW w:w="1417"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C2B9141">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ns2:paraId="7A75003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4426FD2">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proc_share</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56F97625">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0.2438***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A72C744">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-0.3350*** [p=0.010]</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3C02066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0.4835***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2A973086">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0.3831***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026E4C1A">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0.6803*** [p=&lt;0.001]</w:t>
            </w:r>
          </w:p>
        </w:tc>
        <w:tc>
          <w:tcPr>
            <w:tcW w:w="1417" w:type="dxa"/>
            <w:tcBorders>
              <w:top w:val="nil"/>
              <w:left w:val="nil"/>
              <w:bottom w:val="nil"/>
              <w:right w:val="nil"/>
            </w:tcBorders>
            <w:shd w:val="clear" w:color="auto" w:fill="FFFFFF"/>
            <w:noWrap w:val="0"/>
            <w:tcMar>
              <w:top w:w="-1" w:type="dxa"/>
              <w:left w:w="-1" w:type="dxa"/>
              <w:bottom w:w="-1" w:type="dxa"/>
              <w:right w:w="-1" w:type="dxa"/>
            </w:tcMar>
            <w:vAlign w:val="center"/>
          </w:tcPr>
          <w:p ns2:paraId="63731C7E">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r ns2:paraId="766ED1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6BAD4C8">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ppp_quality_zindex</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3289E53">
            <w:pPr>
              <w:snapToGrid w:val="0"/>
              <w:spacing w:before="0" w:after="0" w:line="240" w:lineRule="auto"/>
              <w:ind w:left="0" w:leftChars="0" w:right="0" w:rightChars="0" w:firstLine="0" w:firstLineChars="0"/>
              <w:jc w:val="left"/>
              <w:rPr>
                <w:rFonts w:ascii="Times New Roman" w:eastAsia="宋体"/>
                <w:b w:val="0"/>
                <w:color w:val="000000"/>
                <w:sz w:val="22"/>
                <w:szCs w:val="22"/>
              </w:rPr>
            </w:pPr>
            <w:r>
              <w:rPr>
                <w:rFonts w:ascii="Times New Roman" w:hAnsi="Times New Roman" w:eastAsia="宋体"/>
                <w:b w:val="0"/>
                <w:color w:val="000000"/>
                <w:sz w:val="22"/>
                <w:szCs w:val="22"/>
              </w:rPr>
              <w:t>-0.1877* [p=0.051]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40C6B3D">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0.7400** [p=0.013]</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B680139">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-0.4226*** [p=0.002]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D50944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-0.6742*** [p=&lt;0.001]</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FDFF16B">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-0.4672* [p=0.072]</w:t>
            </w:r>
          </w:p>
        </w:tc>
        <w:tc>
          <w:tcPr>
            <w:tcW w:w="1417"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3356E9A7">
            <w:pPr>
              <w:snapToGrid w:val="0"/>
              <w:spacing w:before="0" w:after="0" w:line="240" w:lineRule="auto"/>
              <w:ind w:left="0" w:leftChars="0" w:right="0" w:rightChars="0" w:firstLine="0" w:firstLineChars="0"/>
              <w:jc w:val="center"/>
              <w:rPr>
                <w:rFonts w:ascii="Times New Roman" w:eastAsia="宋体"/>
                <w:b w:val="0"/>
                <w:color w:val="000000"/>
                <w:sz w:val="22"/>
                <w:szCs w:val="22"/>
              </w:rPr>
            </w:pPr>
            <w:r>
              <w:rPr>
                <w:rFonts w:ascii="Times New Roman" w:hAnsi="Times New Roman" w:eastAsia="宋体"/>
                <w:b w:val="0"/>
                <w:color w:val="000000"/>
                <w:sz w:val="22"/>
                <w:szCs w:val="22"/>
              </w:rPr>
              <w:t>领先项存在显著性或边际显著性，仅能说明动态路径与识别边界</w:t>
            </w:r>
          </w:p>
        </w:tc>
      </w:tr>
    </w:tbl>
    <w:p ns2:paraId="45D469A8">
      <w:pPr>
        <w:spacing w:before="60" w:after="60" w:line="360" w:lineRule="auto"/>
        <w:jc w:val="center"/>
      </w:pPr>
      <w:r>
        <w: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w:drawing>
      </w:r>
    </w:p>
    <w:p ns2:paraId="443ECE0B">
      <w:pPr>
        <w:spacing w:before="0" w:after="60" w:line="420" w:lineRule="auto"/>
        <w:jc w:val="center"/>
      </w:pPr>
      <w:r>
        <w:t>从公共管理含义上看，这一结果提示PPP治理结构的调整往往发生在制度改革推进过程中，而非完全同步于政策启动时点；但从识别边界上看，这一节最多支持“动态展开”而非“完美前趋势”。</w:t>
      </w:r>
    </w:p>
    <w:p ns2:paraId="2DD0A4AC">
      <w:pPr>
        <w:spacing w:before="0" w:after="0" w:line="420" w:lineRule="auto"/>
        <w:ind w:firstLine="420"/>
        <w:jc w:val="both"/>
      </w:pPr>
      <w:r>
        <w:t>基于上述动态路径与识别边界，后文进一步引入趋势调整型 DID、逐省剔除诊断和更保守的小样本推断，对推进结构结论在关键识别挑战下的稳定性进行防守性检验。</w:t>
      </w:r>
    </w:p>
    <w:p ns2:paraId="66E241E6">
      <w:pPr>
        <w:spacing w:before="100" w:after="40" w:line="420" w:lineRule="auto"/>
        <w:jc w:val="left"/>
      </w:pPr>
      <w:r>
        <w:t>5.4 机制分析</w:t>
      </w:r>
    </w:p>
    <w:p ns2:paraId="24409220">
      <w:pPr>
        <w:spacing w:before="0" w:after="0" w:line="420" w:lineRule="auto"/>
        <w:ind w:firstLine="420"/>
        <w:jc w:val="both"/>
      </w:pPr>
      <w:r>
        <w: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w:t>
      </w:r>
    </w:p>
    <w:p ns2:paraId="5876C728">
      <w:pPr>
        <w:spacing w:before="0" w:after="0" w:line="420" w:lineRule="auto"/>
        <w:ind w:firstLine="420"/>
        <w:jc w:val="both"/>
        <w:rPr>
          <w:rFonts w:ascii="Times New Roman" w:hAnsi="Times New Roman" w:eastAsia="宋体"/>
          <w:sz w:val="24"/>
          <w:szCs w:val="24"/>
        </w:rPr>
      </w:pPr>
      <w:r>
        <w:t>表5汇总了机制检验的核心结果。首先，treat_share对A维度指数的影响显著，表明数字治理接口与数据协同确实是最先响应的治理环节。这与理论部分提出的“接口优先”判断一致。其次，B维度和C维度对应的文本治理表达也出现显著联动变化，说明前端规范准入和采购—执行治理安排随着改革推进而发生了重组。需要注意的是，这里的经验含义应理解为治理表达结构变化和制度重心转移，而不宜机械理解为所有单项指标均线性改善。再次，在结果方程中，A维度中介项对exec_share和proc_share的系数方向与理论预期相符，但统计上并不稳定；链式路径中，B_idx→C_idx和C_idx→D_idx两段显著，而A_idx→B_idx不显著；严格中介分解的Sobel检验和Bootstrap区间均未支持稳定中介效应。</w:t>
      </w:r>
    </w:p>
    <w:p ns2:paraId="70ABB4FB">
      <w:pPr>
        <w:spacing w:before="0" w:after="0" w:line="420" w:lineRule="auto"/>
        <w:ind w:firstLine="420"/>
        <w:jc w:val="both"/>
        <w:rPr>
          <w:rFonts w:ascii="Times New Roman" w:hAnsi="Times New Roman" w:eastAsia="宋体"/>
          <w:sz w:val="24"/>
          <w:szCs w:val="24"/>
        </w:rPr>
      </w:pPr>
    </w:p>
    <w:p ns2:paraId="45F6FA7F">
      <w:pPr>
        <w:spacing w:before="0" w:after="0" w:line="420" w:lineRule="auto"/>
        <w:ind w:firstLine="420"/>
        <w:jc w:val="both"/>
        <w:rPr>
          <w:rFonts w:ascii="Times New Roman" w:hAnsi="Times New Roman" w:eastAsia="宋体"/>
          <w:sz w:val="24"/>
          <w:szCs w:val="24"/>
        </w:rPr>
      </w:pPr>
    </w:p>
    <w:p ns2:paraId="1A020118">
      <w:pPr>
        <w:spacing w:before="0" w:after="0" w:line="420" w:lineRule="auto"/>
        <w:ind w:firstLine="420"/>
        <w:jc w:val="both"/>
        <w:rPr>
          <w:rFonts w:ascii="Times New Roman" w:hAnsi="Times New Roman" w:eastAsia="宋体"/>
          <w:sz w:val="24"/>
          <w:szCs w:val="24"/>
        </w:rPr>
      </w:pPr>
    </w:p>
    <w:p ns2:paraId="0CB0F5DE">
      <w:pPr>
        <w:spacing w:before="0" w:after="0" w:line="420" w:lineRule="auto"/>
        <w:ind w:firstLine="420"/>
        <w:jc w:val="both"/>
        <w:rPr>
          <w:rFonts w:ascii="Times New Roman" w:hAnsi="Times New Roman" w:eastAsia="宋体"/>
          <w:sz w:val="24"/>
          <w:szCs w:val="24"/>
        </w:rPr>
      </w:pPr>
    </w:p>
    <w:p ns2:paraId="52D7C45B">
      <w:pPr>
        <w:spacing w:before="0" w:after="0" w:line="420" w:lineRule="auto"/>
        <w:ind w:firstLine="420"/>
        <w:jc w:val="both"/>
        <w:rPr>
          <w:rFonts w:ascii="Times New Roman" w:hAnsi="Times New Roman" w:eastAsia="宋体"/>
          <w:sz w:val="24"/>
          <w:szCs w:val="24"/>
        </w:rPr>
      </w:pPr>
    </w:p>
    <w:p ns2:paraId="688846C3">
      <w:pPr>
        <w:spacing w:before="0" w:after="0" w:line="420" w:lineRule="auto"/>
        <w:ind w:firstLine="420"/>
        <w:jc w:val="both"/>
        <w:rPr>
          <w:rFonts w:ascii="Times New Roman" w:hAnsi="Times New Roman" w:eastAsia="宋体"/>
          <w:sz w:val="24"/>
          <w:szCs w:val="24"/>
        </w:rPr>
      </w:pPr>
    </w:p>
    <w:p ns2:paraId="2710B73D">
      <w:pPr>
        <w:spacing w:before="0" w:after="0" w:line="420" w:lineRule="auto"/>
        <w:ind w:firstLine="420"/>
        <w:jc w:val="both"/>
        <w:rPr>
          <w:rFonts w:ascii="Times New Roman" w:hAnsi="Times New Roman" w:eastAsia="宋体"/>
          <w:sz w:val="24"/>
          <w:szCs w:val="24"/>
        </w:rPr>
      </w:pPr>
    </w:p>
    <w:p ns2:paraId="5F78348B">
      <w:pPr>
        <w:spacing w:before="0" w:after="0" w:line="420" w:lineRule="auto"/>
        <w:ind w:firstLine="420"/>
        <w:jc w:val="both"/>
        <w:rPr>
          <w:rFonts w:ascii="Times New Roman" w:hAnsi="Times New Roman" w:eastAsia="宋体"/>
          <w:sz w:val="24"/>
          <w:szCs w:val="24"/>
        </w:rPr>
      </w:pPr>
    </w:p>
    <w:p ns2:paraId="187C13EB">
      <w:pPr>
        <w:spacing w:before="0" w:after="0" w:line="420" w:lineRule="auto"/>
        <w:ind w:firstLine="420"/>
        <w:jc w:val="both"/>
        <w:rPr>
          <w:rFonts w:ascii="Times New Roman" w:hAnsi="Times New Roman" w:eastAsia="宋体"/>
          <w:sz w:val="24"/>
          <w:szCs w:val="24"/>
        </w:rPr>
      </w:pPr>
    </w:p>
    <w:p ns2:paraId="1DAA1B29">
      <w:pPr>
        <w:spacing w:before="0" w:after="0" w:line="420" w:lineRule="auto"/>
        <w:ind w:firstLine="420"/>
        <w:jc w:val="both"/>
        <w:rPr>
          <w:rFonts w:ascii="Times New Roman" w:hAnsi="Times New Roman" w:eastAsia="宋体"/>
          <w:sz w:val="24"/>
          <w:szCs w:val="24"/>
        </w:rPr>
      </w:pPr>
    </w:p>
    <w:p ns2:paraId="103A39A0">
      <w:pPr>
        <w:spacing w:before="0" w:after="0" w:line="420" w:lineRule="auto"/>
        <w:ind w:firstLine="420"/>
        <w:jc w:val="both"/>
        <w:rPr>
          <w:rFonts w:ascii="Times New Roman" w:hAnsi="Times New Roman" w:eastAsia="宋体"/>
          <w:sz w:val="24"/>
          <w:szCs w:val="24"/>
        </w:rPr>
      </w:pPr>
    </w:p>
    <w:p ns2:paraId="6E9261C9">
      <w:pPr>
        <w:spacing w:before="0" w:after="0" w:line="420" w:lineRule="auto"/>
        <w:ind w:firstLine="420"/>
        <w:jc w:val="both"/>
        <w:rPr>
          <w:rFonts w:ascii="Times New Roman" w:hAnsi="Times New Roman" w:eastAsia="宋体"/>
          <w:sz w:val="24"/>
          <w:szCs w:val="24"/>
        </w:rPr>
      </w:pPr>
    </w:p>
    <w:p ns2:paraId="02FB14A3">
      <w:pPr>
        <w:spacing w:before="0" w:after="0" w:line="420" w:lineRule="auto"/>
        <w:ind w:firstLine="420"/>
        <w:jc w:val="both"/>
        <w:rPr>
          <w:rFonts w:ascii="Times New Roman" w:hAnsi="Times New Roman" w:eastAsia="宋体"/>
          <w:sz w:val="24"/>
          <w:szCs w:val="24"/>
        </w:rPr>
      </w:pPr>
    </w:p>
    <w:p ns2:paraId="40F027FD">
      <w:pPr>
        <w:spacing w:before="0" w:after="0" w:line="420" w:lineRule="auto"/>
        <w:ind w:firstLine="420"/>
        <w:jc w:val="both"/>
        <w:rPr>
          <w:rFonts w:ascii="Times New Roman" w:hAnsi="Times New Roman" w:eastAsia="宋体"/>
          <w:sz w:val="24"/>
          <w:szCs w:val="24"/>
        </w:rPr>
      </w:pPr>
    </w:p>
    <w:p ns2:paraId="4887AC82">
      <w:pPr>
        <w:spacing w:before="0" w:after="0" w:line="420" w:lineRule="auto"/>
        <w:jc w:val="both"/>
        <w:rPr>
          <w:rFonts w:ascii="Times New Roman" w:hAnsi="Times New Roman" w:eastAsia="宋体"/>
          <w:sz w:val="24"/>
          <w:szCs w:val="24"/>
        </w:rPr>
      </w:pPr>
    </w:p>
    <w:p ns2:paraId="76CA5098">
      <w:pPr>
        <w:spacing w:before="0" w:after="40" w:line="420" w:lineRule="auto"/>
        <w:jc w:val="center"/>
      </w:pPr>
      <w:r>
        <w: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并未在严格意义上构成一条从前端到后端均稳定显著的强中介链条。</w:t>
      </w:r>
    </w:p>
    <w:tbl>
      <w:tblPr>
        <w:tblStyle w:val="2"/>
        <w:tblW w:w="8522"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0"/>
        <w:gridCol w:w="2238"/>
        <w:gridCol w:w="2035"/>
        <w:gridCol w:w="520"/>
        <w:gridCol w:w="2269"/>
      </w:tblGrid>
      <w:tr ns2:paraId="6BEC2F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69D92BC7">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机制层级</w:t>
            </w:r>
          </w:p>
        </w:tc>
        <w:tc>
          <w:tcPr>
            <w:tcW w:w="2238"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41677DF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核心链条/结果</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08D411AA">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核心系数与显著性</w:t>
            </w:r>
          </w:p>
        </w:tc>
        <w:tc>
          <w:tcPr>
            <w:tcW w:w="52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AD70ADE">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N</w:t>
            </w:r>
          </w:p>
        </w:tc>
        <w:tc>
          <w:tcPr>
            <w:tcW w:w="226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D0C74E5">
            <w:pPr>
              <w:snapToGrid w:val="0"/>
              <w:spacing w:before="0" w:after="0" w:line="240" w:lineRule="auto"/>
              <w:ind w:left="0" w:leftChars="0" w:right="0" w:rightChars="0" w:firstLine="0" w:firstLineChars="0"/>
              <w:jc w:val="center"/>
              <w:rPr>
                <w:rFonts w:ascii="Times New Roman" w:eastAsia="宋体"/>
                <w:b/>
                <w:color w:val="000000"/>
                <w:sz w:val="20"/>
              </w:rPr>
            </w:pPr>
            <w:r>
              <w:rPr>
                <w:rFonts w:ascii="Times New Roman" w:hAnsi="Times New Roman" w:eastAsia="宋体"/>
                <w:b/>
                <w:color w:val="000000"/>
                <w:sz w:val="20"/>
                <w:szCs w:val="20"/>
              </w:rPr>
              <w:t>结论</w:t>
            </w:r>
          </w:p>
        </w:tc>
      </w:tr>
      <w:tr ns2:paraId="17AE9D5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72DEEF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A维度先行响应</w:t>
            </w:r>
          </w:p>
        </w:tc>
        <w:tc>
          <w:tcPr>
            <w:tcW w:w="2238"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D8C562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treat_share→A_idx</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2ACBB3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175.5750*** [p=&lt;0.001]</w:t>
            </w:r>
          </w:p>
        </w:tc>
        <w:tc>
          <w:tcPr>
            <w:tcW w:w="5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94B73EC">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699A8201">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接口维度显著先行</w:t>
            </w:r>
          </w:p>
        </w:tc>
      </w:tr>
      <w:tr ns2:paraId="2D2BAC5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709471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前端规范响应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1BE3854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treat_share→B_idx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975E33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-296.7251***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7D2A771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137639F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B维度发生显著调整</w:t>
            </w:r>
          </w:p>
        </w:tc>
      </w:tr>
      <w:tr ns2:paraId="1064C72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DB701D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7D9F3BD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B_idx→C_idx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AE048F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0.8578***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6B81A6D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0797CFF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前端规范向采购执行维度传导</w:t>
            </w:r>
          </w:p>
        </w:tc>
      </w:tr>
      <w:tr ns2:paraId="1DACD6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4B3EE1C">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链式传导</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60BFB07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C_idx→D_idx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F9F94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0.0934*** [p=&lt;0.001]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5F4166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77B50F0B">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后端风险约束存在局部传导</w:t>
            </w:r>
          </w:p>
        </w:tc>
      </w:tr>
      <w:tr ns2:paraId="673623E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40286D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后端直接效应</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6A92C6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treat_share→D_idx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2D35B4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0.0533 [p=0.999]</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25C253C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18DD0C2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未观察到稳定直接响应</w:t>
            </w:r>
          </w:p>
        </w:tc>
      </w:tr>
      <w:tr ns2:paraId="797DF03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DBF2A4F">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0877AE6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0D460B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did=0.3074*** [p=0.008]</w:t>
            </w:r>
          </w:p>
          <w:p ns2:paraId="30BCB4C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[p=0.283]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9D09C7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00E08D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ns2:paraId="716F1F6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9E0EBDA">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581EB09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32E4B8D">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did=-0.3575*** [p=0.002]</w:t>
            </w:r>
          </w:p>
          <w:p ns2:paraId="420FB1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[p=0.310]</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155B128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5DB366B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直接效应存在，中介项不稳</w:t>
            </w:r>
          </w:p>
        </w:tc>
      </w:tr>
      <w:tr ns2:paraId="275EF9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B079A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中介方程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4849E1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 中 A_idx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986AA3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did=0.4663 [p=0.271]</w:t>
            </w:r>
          </w:p>
          <w:p ns2:paraId="24C391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med=0.0003 [p=0.321]</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466CC6F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5D8F117E">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质量型结果不稳</w:t>
            </w:r>
          </w:p>
        </w:tc>
      </w:tr>
      <w:tr ns2:paraId="1507D02F">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4159A4D">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1A686EE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38D0A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ab=0.0415</w:t>
            </w:r>
          </w:p>
          <w:p ns2:paraId="3135127A">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p=0.364</w:t>
            </w:r>
          </w:p>
          <w:p ns2:paraId="119FFD43">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CI=[-0.279, 0.163]</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69CFF41B">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21736737">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ns2:paraId="219A7D6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39BABF3">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nil"/>
              <w:right w:val="nil"/>
            </w:tcBorders>
            <w:shd w:val="clear" w:color="auto" w:fill="FFFFFF"/>
            <w:noWrap w:val="0"/>
            <w:tcMar>
              <w:top w:w="-1" w:type="dxa"/>
              <w:left w:w="-1" w:type="dxa"/>
              <w:bottom w:w="-1" w:type="dxa"/>
              <w:right w:w="-1" w:type="dxa"/>
            </w:tcMar>
            <w:vAlign w:val="center"/>
          </w:tcPr>
          <w:p ns2:paraId="47F6D8C1">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41AC3FF">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ab=-0.0391</w:t>
            </w:r>
          </w:p>
          <w:p ns2:paraId="6725A345">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p=0.377</w:t>
            </w:r>
          </w:p>
          <w:p ns2:paraId="5A03BCE4">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CI=[-0.157, 0.264]</w:t>
            </w:r>
          </w:p>
        </w:tc>
        <w:tc>
          <w:tcPr>
            <w:tcW w:w="520" w:type="dxa"/>
            <w:tcBorders>
              <w:top w:val="nil"/>
              <w:left w:val="nil"/>
              <w:bottom w:val="nil"/>
              <w:right w:val="nil"/>
            </w:tcBorders>
            <w:shd w:val="clear" w:color="auto" w:fill="FFFFFF"/>
            <w:noWrap w:val="0"/>
            <w:tcMar>
              <w:top w:w="-1" w:type="dxa"/>
              <w:left w:w="-1" w:type="dxa"/>
              <w:bottom w:w="-1" w:type="dxa"/>
              <w:right w:w="-1" w:type="dxa"/>
            </w:tcMar>
            <w:vAlign w:val="center"/>
          </w:tcPr>
          <w:p ns2:paraId="0FCE3E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nil"/>
              <w:right w:val="nil"/>
            </w:tcBorders>
            <w:shd w:val="clear" w:color="auto" w:fill="FFFFFF"/>
            <w:noWrap w:val="0"/>
            <w:tcMar>
              <w:top w:w="-1" w:type="dxa"/>
              <w:left w:w="-1" w:type="dxa"/>
              <w:bottom w:w="-1" w:type="dxa"/>
              <w:right w:w="-1" w:type="dxa"/>
            </w:tcMar>
            <w:vAlign w:val="center"/>
          </w:tcPr>
          <w:p ns2:paraId="6D7CF9C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r ns2:paraId="2F05553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567" w:hRule="atLeast"/>
          <w:jc w:val="center"/>
        </w:trPr>
        <w:tc>
          <w:tcPr>
            <w:tcW w:w="146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6FDC670">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w:t>
            </w:r>
          </w:p>
        </w:tc>
        <w:tc>
          <w:tcPr>
            <w:tcW w:w="2238"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92C4108">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ppp_quality_zindex</w:t>
            </w:r>
          </w:p>
        </w:tc>
        <w:tc>
          <w:tcPr>
            <w:tcW w:w="203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4EB1FA09">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ab=0.0406</w:t>
            </w:r>
          </w:p>
          <w:p ns2:paraId="0C08C5C7">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Sobel p=0.512</w:t>
            </w:r>
          </w:p>
          <w:p ns2:paraId="471EF2D6">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CI=[-0.416, 0.201]</w:t>
            </w:r>
          </w:p>
        </w:tc>
        <w:tc>
          <w:tcPr>
            <w:tcW w:w="5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0BA9390">
            <w:pPr>
              <w:snapToGrid w:val="0"/>
              <w:spacing w:before="0" w:after="0" w:line="240" w:lineRule="auto"/>
              <w:ind w:left="0" w:leftChars="0" w:right="0" w:rightChars="0" w:firstLine="0" w:firstLineChars="0"/>
              <w:jc w:val="left"/>
              <w:rPr>
                <w:rFonts w:ascii="Times New Roman" w:eastAsia="宋体"/>
                <w:b w:val="0"/>
                <w:color w:val="000000"/>
                <w:sz w:val="20"/>
              </w:rPr>
            </w:pPr>
            <w:r>
              <w:rPr>
                <w:rFonts w:ascii="Times New Roman" w:hAnsi="Times New Roman" w:eastAsia="宋体"/>
                <w:b w:val="0"/>
                <w:color w:val="000000"/>
                <w:sz w:val="20"/>
                <w:szCs w:val="20"/>
              </w:rPr>
              <w:t>262</w:t>
            </w:r>
          </w:p>
        </w:tc>
        <w:tc>
          <w:tcPr>
            <w:tcW w:w="226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6197085">
            <w:pPr>
              <w:snapToGrid w:val="0"/>
              <w:spacing w:before="0" w:after="0" w:line="240" w:lineRule="auto"/>
              <w:ind w:left="0" w:leftChars="0" w:right="0" w:rightChars="0" w:firstLine="0" w:firstLineChars="0"/>
              <w:jc w:val="center"/>
              <w:rPr>
                <w:rFonts w:ascii="Times New Roman" w:eastAsia="宋体"/>
                <w:b w:val="0"/>
                <w:color w:val="000000"/>
                <w:sz w:val="20"/>
              </w:rPr>
            </w:pPr>
            <w:r>
              <w:rPr>
                <w:rFonts w:ascii="Times New Roman" w:hAnsi="Times New Roman" w:eastAsia="宋体"/>
                <w:b w:val="0"/>
                <w:color w:val="000000"/>
                <w:sz w:val="20"/>
                <w:szCs w:val="20"/>
              </w:rPr>
              <w:t>严格中介不足</w:t>
            </w:r>
          </w:p>
        </w:tc>
      </w:tr>
    </w:tbl>
    <w:p ns2:paraId="68967DF6">
      <w:pPr>
        <w:spacing w:before="0" w:after="0" w:line="420" w:lineRule="auto"/>
        <w:ind w:firstLine="420"/>
        <w:jc w:val="both"/>
      </w:pPr>
      <w:r>
        <w:t>从公共管理角度看，这一结果的含义在于，PPP治理过程的改进首先依赖制度接口和程序环境的调整，而非所有治理环节同步升级；从证据边界看，表5支持的是部分机制和阶段性传导，而不是完整闭合的机制证明。</w:t>
      </w:r>
    </w:p>
    <w:p ns2:paraId="736049D1">
      <w:pPr>
        <w:spacing w:before="100" w:after="40" w:line="420" w:lineRule="auto"/>
        <w:jc w:val="left"/>
      </w:pPr>
      <w:r>
        <w:t>5.5 异质性分析</w:t>
      </w:r>
    </w:p>
    <w:p ns2:paraId="45E15243">
      <w:pPr>
        <w:spacing w:before="0" w:after="0" w:line="420" w:lineRule="auto"/>
        <w:ind w:firstLine="420"/>
        <w:jc w:val="both"/>
      </w:pPr>
      <w:r>
        <w:t>在主结果和机制线索之外，本文进一步考察改革效应是否在不同治理环境下存在差异。异质性分析的作用是补充适用边界，而不是生成第二主结论，因此其解释强度必须低于基准结果和机制分析。</w:t>
      </w:r>
    </w:p>
    <w:p ns2:paraId="076A2F21">
      <w:pPr>
        <w:spacing w:before="0" w:after="0" w:line="420" w:lineRule="auto"/>
        <w:ind w:firstLine="420"/>
        <w:jc w:val="both"/>
      </w:pPr>
      <w:r>
        <w: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w:t>
      </w:r>
    </w:p>
    <w:p ns2:paraId="3C9B636F">
      <w:pPr>
        <w:spacing w:before="0" w:after="40" w:line="420" w:lineRule="auto"/>
        <w:jc w:val="center"/>
      </w:pPr>
      <w:r>
        <w: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w:t>
      </w:r>
    </w:p>
    <w:tbl>
      <w:tblPr>
        <w:tblStyle w:val="2"/>
        <w:tblW w:w="8803"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463"/>
        <w:gridCol w:w="1932"/>
        <w:gridCol w:w="1075"/>
        <w:gridCol w:w="1429"/>
        <w:gridCol w:w="500"/>
        <w:gridCol w:w="2404"/>
      </w:tblGrid>
      <w:tr ns2:paraId="7F609BC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25BE597E">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异质性维度</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0B8A58C">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结果变量</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75DCCF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交互项</w:t>
            </w:r>
          </w:p>
        </w:tc>
        <w:tc>
          <w:tcPr>
            <w:tcW w:w="1429"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CE76DD2">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交互结果</w:t>
            </w:r>
          </w:p>
        </w:tc>
        <w:tc>
          <w:tcPr>
            <w:tcW w:w="50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2B987AC7">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N</w:t>
            </w:r>
          </w:p>
        </w:tc>
        <w:tc>
          <w:tcPr>
            <w:tcW w:w="2404"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3EA06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解释</w:t>
            </w:r>
          </w:p>
        </w:tc>
      </w:tr>
      <w:tr ns2:paraId="2BF3817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0B43B0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4C04C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2E029FC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59D7EF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-0.4554*** [p=&lt;0.001]</w:t>
            </w:r>
          </w:p>
        </w:tc>
        <w:tc>
          <w:tcPr>
            <w:tcW w:w="50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D6A3E8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37B948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3B70B9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E9AD39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区域异质性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DA4C0A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88220C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FBD55F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0.4188***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3B92B41F">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0E78252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043B7A4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3AAF2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治理基础高低</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3B15FE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B3ACB3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treat_share</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FD8A260">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-0.4548*** [p=&lt;0.001]</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370392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26CCA51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仅作为差异线索</w:t>
            </w:r>
          </w:p>
        </w:tc>
      </w:tr>
      <w:tr ns2:paraId="7C703BA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E52253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0D17DF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1A7E6F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6AD4630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-0.2440 [p=0.368]</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67471B7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38CFFAE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6A8F9D5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D6A74A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B6ED2AB">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56B822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3927ED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0.2259 [p=0.337]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69743A3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063AB1B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6FCE63B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E8D1D4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PPP风险暴露</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B8D88C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E6FEAA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700B79F7">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-0.0879 [p=0.916]</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53D841B0">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4FC38AE4">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交互项不显著，未观察到稳定的风险暴露异质性</w:t>
            </w:r>
          </w:p>
        </w:tc>
      </w:tr>
      <w:tr ns2:paraId="5021786E">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3FA21E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E3BE90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exec_share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5C7777B">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0A9BEF0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0.1190 [p=0.747]</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54C0231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39A152C5">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ns2:paraId="47A27C7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11A7F56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7043DAF">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proc_share</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B2704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7DF6A779">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-0.2328 [p=0.535]</w:t>
            </w:r>
          </w:p>
        </w:tc>
        <w:tc>
          <w:tcPr>
            <w:tcW w:w="500" w:type="dxa"/>
            <w:tcBorders>
              <w:top w:val="nil"/>
              <w:left w:val="nil"/>
              <w:bottom w:val="nil"/>
              <w:right w:val="nil"/>
            </w:tcBorders>
            <w:shd w:val="clear" w:color="auto" w:fill="FFFFFF"/>
            <w:noWrap w:val="0"/>
            <w:tcMar>
              <w:top w:w="-1" w:type="dxa"/>
              <w:left w:w="-1" w:type="dxa"/>
              <w:bottom w:w="-1" w:type="dxa"/>
              <w:right w:w="-1" w:type="dxa"/>
            </w:tcMar>
            <w:vAlign w:val="center"/>
          </w:tcPr>
          <w:p ns2:paraId="75EED93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nil"/>
              <w:right w:val="nil"/>
            </w:tcBorders>
            <w:shd w:val="clear" w:color="auto" w:fill="FFFFFF"/>
            <w:noWrap w:val="0"/>
            <w:tcMar>
              <w:top w:w="-1" w:type="dxa"/>
              <w:left w:w="-1" w:type="dxa"/>
              <w:bottom w:w="-1" w:type="dxa"/>
              <w:right w:w="-1" w:type="dxa"/>
            </w:tcMar>
            <w:vAlign w:val="center"/>
          </w:tcPr>
          <w:p ns2:paraId="15F2987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r ns2:paraId="2B3C4B65">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463"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EF6B76D">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政府数据开放度</w:t>
            </w:r>
          </w:p>
        </w:tc>
        <w:tc>
          <w:tcPr>
            <w:tcW w:w="1932"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9AA630E">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ppp_quality_zindex</w:t>
            </w:r>
          </w:p>
        </w:tc>
        <w:tc>
          <w:tcPr>
            <w:tcW w:w="107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18EF7D2D">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interaction</w:t>
            </w:r>
          </w:p>
        </w:tc>
        <w:tc>
          <w:tcPr>
            <w:tcW w:w="1429"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699637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-0.8604 [p=0.481]</w:t>
            </w:r>
          </w:p>
        </w:tc>
        <w:tc>
          <w:tcPr>
            <w:tcW w:w="50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75A3D674">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262</w:t>
            </w:r>
          </w:p>
        </w:tc>
        <w:tc>
          <w:tcPr>
            <w:tcW w:w="2404"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584EB333">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交互项不显著，更多体现为适用边界补充</w:t>
            </w:r>
          </w:p>
        </w:tc>
      </w:tr>
    </w:tbl>
    <w:p ns2:paraId="40047F1B">
      <w:pPr>
        <w:spacing w:before="100" w:after="40" w:line="420" w:lineRule="auto"/>
        <w:jc w:val="left"/>
      </w:pPr>
      <w:r>
        <w:t>5.6 稳健性检验与主识别防守</w:t>
      </w:r>
    </w:p>
    <w:p ns2:paraId="4ED499A3">
      <w:pPr>
        <w:spacing w:before="0" w:after="0" w:line="420" w:lineRule="auto"/>
        <w:ind w:firstLine="420"/>
        <w:jc w:val="both"/>
      </w:pPr>
      <w:r>
        <w:t>本节并不引入新的主识别策略，而是围绕表4所报告的treat_share多期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w:t>
      </w:r>
    </w:p>
    <w:p ns2:paraId="76682969">
      <w:pPr>
        <w:spacing w:before="0" w:after="0" w:line="420" w:lineRule="auto"/>
        <w:ind w:firstLine="420"/>
        <w:jc w:val="both"/>
      </w:pPr>
      <w:r>
        <w:t>鉴于前文事件研究中的领先项并非完全平稳，本文在正式主规格之外进一步加入省份线性时间趋势，对主结果进行趋势调整型 DID 检验。该检验保持正式主面板、处理变量、控制变量、地区固定效应和年份固定效应不变，仅额外控制省级线性趋势，因此其作用在于回应“省际异质趋势可能影响主结果”的识别顾虑，而不是替代表4中的主识别框架。 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w:t>
      </w:r>
    </w:p>
    <w:p ns2:paraId="440A0EDF">
      <w:pPr>
        <w:spacing w:before="0" w:after="40" w:line="420" w:lineRule="auto"/>
        <w:jc w:val="center"/>
      </w:pPr>
      <w:r>
        <w:t>表8 主识别防守型稳健性检验摘要</w:t>
      </w:r>
    </w:p>
    <w:tbl>
      <w:tblPr>
        <w:tblStyle w:val="2"/>
        <w:tblW w:w="9326"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1305"/>
        <w:gridCol w:w="1519"/>
        <w:gridCol w:w="1429"/>
        <w:gridCol w:w="2053"/>
        <w:gridCol w:w="3020"/>
      </w:tblGrid>
      <w:tr ns2:paraId="73F1779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12EB8CD0">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检验层级</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CA3D60C">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exec_share</w:t>
            </w:r>
          </w:p>
        </w:tc>
        <w:tc>
          <w:tcPr>
            <w:tcW w:w="1429"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F524504">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proc_share</w:t>
            </w:r>
          </w:p>
        </w:tc>
        <w:tc>
          <w:tcPr>
            <w:tcW w:w="0" w:type="auto"/>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10E5B2AF">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ppp_quality_zindex</w:t>
            </w:r>
          </w:p>
        </w:tc>
        <w:tc>
          <w:tcPr>
            <w:tcW w:w="3020" w:type="dxa"/>
            <w:tcBorders>
              <w:top w:val="single" w:color="auto" w:sz="12" w:space="0"/>
              <w:left w:val="nil"/>
              <w:bottom w:val="nil"/>
              <w:right w:val="nil"/>
            </w:tcBorders>
            <w:shd w:val="clear" w:color="auto" w:fill="EDEDED"/>
            <w:noWrap w:val="0"/>
            <w:tcMar>
              <w:top w:w="-1" w:type="dxa"/>
              <w:left w:w="-1" w:type="dxa"/>
              <w:bottom w:w="-1" w:type="dxa"/>
              <w:right w:w="-1" w:type="dxa"/>
            </w:tcMar>
            <w:vAlign w:val="center"/>
          </w:tcPr>
          <w:p ns2:paraId="7DDD1F15">
            <w:pPr>
              <w:snapToGrid w:val="0"/>
              <w:spacing w:before="0" w:after="0" w:line="240" w:lineRule="auto"/>
              <w:ind w:left="0" w:leftChars="0" w:right="0" w:rightChars="0" w:firstLine="0" w:firstLineChars="0"/>
              <w:jc w:val="center"/>
              <w:rPr>
                <w:rFonts w:ascii="Times New Roman" w:eastAsia="宋体"/>
                <w:b/>
                <w:sz w:val="24"/>
                <w:szCs w:val="24"/>
              </w:rPr>
            </w:pPr>
            <w:r>
              <w:rPr>
                <w:rFonts w:ascii="Times New Roman" w:hAnsi="Times New Roman" w:eastAsia="宋体"/>
                <w:b/>
                <w:sz w:val="24"/>
                <w:szCs w:val="24"/>
              </w:rPr>
              <w:t>写作口径</w:t>
            </w:r>
          </w:p>
        </w:tc>
      </w:tr>
      <w:tr ns2:paraId="1BFBE69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7FA98C4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常规稳健性：主规格锚定</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3AFBF04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0.3600*** [p=&lt;0.001]</w:t>
            </w:r>
          </w:p>
        </w:tc>
        <w:tc>
          <w:tcPr>
            <w:tcW w:w="1429"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0255A4B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-0.4065*** [p=&lt;0.001]</w:t>
            </w:r>
          </w:p>
        </w:tc>
        <w:tc>
          <w:tcPr>
            <w:tcW w:w="0" w:type="auto"/>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337C9F9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0.5226 [p=0.247]</w:t>
            </w:r>
          </w:p>
        </w:tc>
        <w:tc>
          <w:tcPr>
            <w:tcW w:w="3020" w:type="dxa"/>
            <w:tcBorders>
              <w:top w:val="single" w:color="auto" w:sz="4" w:space="0"/>
              <w:left w:val="nil"/>
              <w:bottom w:val="nil"/>
              <w:right w:val="nil"/>
            </w:tcBorders>
            <w:shd w:val="clear" w:color="auto" w:fill="FFFFFF"/>
            <w:noWrap w:val="0"/>
            <w:tcMar>
              <w:top w:w="-1" w:type="dxa"/>
              <w:left w:w="-1" w:type="dxa"/>
              <w:bottom w:w="-1" w:type="dxa"/>
              <w:right w:w="-1" w:type="dxa"/>
            </w:tcMar>
            <w:vAlign w:val="center"/>
          </w:tcPr>
          <w:p ns2:paraId="549209C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1F5651EB">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7E41CFE2">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常规稳健性：滞后一期控制变量</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C4BC5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0.4197***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9F9AB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-0.5187***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90E2E97">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0.1865 [p=0.588]</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5C6B7A0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63BE237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2AE1EA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常规稳健性：剔除直辖市与兵团</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1CF2E7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0.3419*** [p=&lt;0.001]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F3D146A">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-0.3968*** [p=&lt;0.001]</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4C8F23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0.5040 [p=0.296]</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248DEA01">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推进结构方向稳定；质量型结果不稳</w:t>
            </w:r>
          </w:p>
        </w:tc>
      </w:tr>
      <w:tr ns2:paraId="61460CB0">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2CF13CED">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PSM-DID敏感性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1E3AD50">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-0.5361* [p=0.0871]</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2C118A6C">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0.3104 [p=0.3739]</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A22950B">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-2.6389*** [p=0.0]</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097682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匹配样本结果敏感，作为识别边界而非强化证据</w:t>
            </w:r>
          </w:p>
        </w:tc>
      </w:tr>
      <w:tr ns2:paraId="71FDD0F3">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CFB90F8">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DML高维稳健性</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D04A2BF">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0.1730 [p=0.200]</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54E98B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-0.1656 [p=0.212]</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B88693D">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0.3129 [p=0.104]</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CD0AA00">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三项结果方向一致，但统计强度有限</w:t>
            </w:r>
          </w:p>
        </w:tc>
      </w:tr>
      <w:tr ns2:paraId="74D6415D">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05F3EC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IV可行性评估</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42A5F9C1">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最优候选：digital_econ</w:t>
            </w:r>
          </w:p>
        </w:tc>
        <w:tc>
          <w:tcPr>
            <w:tcW w:w="1429" w:type="dxa"/>
            <w:tcBorders>
              <w:top w:val="nil"/>
              <w:left w:val="nil"/>
              <w:bottom w:val="nil"/>
              <w:right w:val="nil"/>
            </w:tcBorders>
            <w:shd w:val="clear" w:color="auto" w:fill="FFFFFF"/>
            <w:noWrap w:val="0"/>
            <w:tcMar>
              <w:top w:w="-1" w:type="dxa"/>
              <w:left w:w="-1" w:type="dxa"/>
              <w:bottom w:w="-1" w:type="dxa"/>
              <w:right w:w="-1" w:type="dxa"/>
            </w:tcMar>
            <w:vAlign w:val="center"/>
          </w:tcPr>
          <w:p ns2:paraId="24A5AAC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一阶段t=1.515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0CD2BC8E">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recommended=No</w:t>
            </w:r>
          </w:p>
        </w:tc>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5A135C99">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当前V3主面板下一阶段相关性不足，不能写成正式IV结果</w:t>
            </w:r>
          </w:p>
        </w:tc>
      </w:tr>
      <w:tr ns2:paraId="00A0476A">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1305"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4358797B">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安慰剂检验</w:t>
            </w:r>
          </w:p>
        </w:tc>
        <w:tc>
          <w:tcPr>
            <w:tcW w:w="151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E68DE3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均值=0.0038</w:t>
            </w:r>
          </w:p>
        </w:tc>
        <w:tc>
          <w:tcPr>
            <w:tcW w:w="1429"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19C32D2">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95%分位=0.1273</w:t>
            </w:r>
          </w:p>
        </w:tc>
        <w:tc>
          <w:tcPr>
            <w:tcW w:w="2053"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02D641A8">
            <w:pPr>
              <w:snapToGrid w:val="0"/>
              <w:spacing w:before="0" w:after="0" w:line="240" w:lineRule="auto"/>
              <w:ind w:left="0" w:leftChars="0" w:right="0" w:rightChars="0" w:firstLine="0" w:firstLineChars="0"/>
              <w:jc w:val="left"/>
              <w:rPr>
                <w:rFonts w:ascii="Times New Roman" w:eastAsia="宋体"/>
                <w:sz w:val="24"/>
                <w:szCs w:val="24"/>
              </w:rPr>
            </w:pPr>
            <w:r>
              <w:rPr>
                <w:rFonts w:ascii="Times New Roman" w:hAnsi="Times New Roman" w:eastAsia="宋体"/>
                <w:sz w:val="24"/>
                <w:szCs w:val="24"/>
              </w:rPr>
              <w:t>99%分位=0.1661</w:t>
            </w:r>
          </w:p>
        </w:tc>
        <w:tc>
          <w:tcPr>
            <w:tcW w:w="3020" w:type="dxa"/>
            <w:tcBorders>
              <w:top w:val="nil"/>
              <w:left w:val="nil"/>
              <w:bottom w:val="single" w:color="auto" w:sz="12" w:space="0"/>
              <w:right w:val="nil"/>
            </w:tcBorders>
            <w:shd w:val="clear" w:color="auto" w:fill="FFFFFF"/>
            <w:noWrap w:val="0"/>
            <w:tcMar>
              <w:top w:w="-1" w:type="dxa"/>
              <w:left w:w="-1" w:type="dxa"/>
              <w:bottom w:w="-1" w:type="dxa"/>
              <w:right w:w="-1" w:type="dxa"/>
            </w:tcMar>
            <w:vAlign w:val="center"/>
          </w:tcPr>
          <w:p ns2:paraId="506332EC">
            <w:pPr>
              <w:snapToGrid w:val="0"/>
              <w:spacing w:before="0" w:after="0" w:line="240" w:lineRule="auto"/>
              <w:ind w:left="0" w:leftChars="0" w:right="0" w:rightChars="0" w:firstLine="0" w:firstLineChars="0"/>
              <w:jc w:val="center"/>
              <w:rPr>
                <w:rFonts w:ascii="Times New Roman" w:eastAsia="宋体"/>
                <w:sz w:val="24"/>
                <w:szCs w:val="24"/>
              </w:rPr>
            </w:pPr>
            <w:r>
              <w:rPr>
                <w:rFonts w:ascii="Times New Roman" w:hAnsi="Times New Roman" w:eastAsia="宋体"/>
                <w:sz w:val="24"/>
                <w:szCs w:val="24"/>
              </w:rPr>
              <w:t>随机置换系数围绕零值分布，作为补充性稳健性支持</w:t>
            </w:r>
          </w:p>
        </w:tc>
      </w:tr>
    </w:tbl>
    <w:p ns2:paraId="26AA50D4">
      <w:pPr>
        <w:spacing w:before="60" w:after="60" w:line="360" w:lineRule="auto"/>
        <w:jc w:val="center"/>
      </w:pPr>
      <w:r>
        <w: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w:drawing>
      </w:r>
    </w:p>
    <w:p ns2:paraId="025A7CF5">
      <w:pPr>
        <w:spacing w:before="0" w:after="60" w:line="420" w:lineRule="auto"/>
        <w:jc w:val="center"/>
      </w:pPr>
      <w:r>
        <w:t>图8 主识别防守型稳健性补充诊断图</w:t>
      </w:r>
    </w:p>
    <w:p ns2:paraId="52B15289">
      <w:pPr>
        <w:spacing w:before="0" w:after="0" w:line="420" w:lineRule="auto"/>
        <w:ind w:firstLine="420"/>
        <w:jc w:val="both"/>
      </w:pPr>
      <w:r>
        <w: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 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w:t>
      </w:r>
    </w:p>
    <w:p ns2:paraId="33C848FC">
      <w:pPr>
        <w:spacing w:before="60" w:after="60" w:line="360" w:lineRule="auto"/>
        <w:jc w:val="center"/>
      </w:pPr>
      <w:r>
        <w: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w:drawing>
      </w:r>
    </w:p>
    <w:p ns2:paraId="025A7CF5">
      <w:pPr>
        <w:spacing w:before="0" w:after="60" w:line="420" w:lineRule="auto"/>
        <w:jc w:val="center"/>
      </w:pPr>
      <w:r>
        <w:t>图9 安慰剂分布图（补充诊断）</w:t>
      </w:r>
    </w:p>
    <w:p ns2:paraId="52B15289">
      <w:pPr>
        <w:spacing w:before="0" w:after="0" w:line="420" w:lineRule="auto"/>
        <w:ind w:firstLine="420"/>
        <w:jc w:val="both"/>
      </w:pPr>
      <w:r>
        <w:t>考虑到正式基准样本的地区聚类数量有限，本文进一步采用更保守的 wild cluster bootstrap 作为小样本推断层面的补充说明。该部分不改变估计框架，也不改变结果方向判断，其作用只是检验在更严格的推断标准下，核心推进结构结论是否仍保留相同的方向层级。 结果表明，执行阶段占比与采购阶段占比的方向与基准 DID 保持一致，但统计强度进一步减弱；综合治理质量口径仍未获得稳定支持。因而，这一层证据更适合作为边界说明，而不构成对主识别的额外强化。此外，随机置换得到的安慰剂分布整体围绕零值展开，相关图示仅作为补充材料中的诊断性展示，不承担正文主防守功能。 本文同时保留了 stack DID、cohort ATT 和动态补充识别，但其功能仅限于边界诊断：前两者主要用于观察核心结果方向是否反向，以及是否对处理时点结构异常敏感；后者仅用于提示前趋势风险是否仍需保留。现有结果并不支持将这些检验抬升为正文中的主防守层，因此正文只作简短交代，不再展开其系数细节或将其写成对主识别的额外强化。</w:t>
      </w:r>
    </w:p>
    <w:p ns2:paraId="3F854742">
      <w:pPr>
        <w:spacing w:before="100" w:after="40" w:line="420" w:lineRule="auto"/>
        <w:jc w:val="left"/>
      </w:pPr>
      <w:r>
        <w:t>5.7 项目级扩展分析：高低风险的辅助识别</w:t>
      </w:r>
    </w:p>
    <w:p ns2:paraId="62CAE315">
      <w:pPr>
        <w:spacing w:before="0" w:after="0" w:line="420" w:lineRule="auto"/>
        <w:ind w:firstLine="420"/>
        <w:jc w:val="both"/>
      </w:pPr>
      <w:r>
        <w:t>从风险治理与多源文本研究的视角看，项目级模型的合理定位并不是替代制度识别，而是在既有治理框架之内提高前端筛查与风险排序效率。也正因如此，本文将第5.7节置于主识别之后：其任务不是重新解释前文的因果结果，而是考察文本与结构变量在项目层面能否转化为具有现实操作性的辅助识别工具。</w:t>
      </w:r>
    </w:p>
    <w:p ns2:paraId="21613630">
      <w:pPr>
        <w:spacing w:before="0" w:after="0" w:line="420" w:lineRule="auto"/>
        <w:ind w:firstLine="420"/>
        <w:jc w:val="both"/>
      </w:pPr>
      <w:r>
        <w: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w:t>
      </w:r>
    </w:p>
    <w:p ns2:paraId="779678B7">
      <w:pPr>
        <w:spacing w:before="0" w:after="40" w:line="420" w:lineRule="auto"/>
        <w:jc w:val="center"/>
      </w:pPr>
      <w:r>
        <w: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9部分压缩为扩展分析而非全文压轴，其作用是补充说明文本和结构变量在项目层面的应用潜力，而不是改变全文主线。</w:t>
      </w:r>
    </w:p>
    <w:tbl>
      <w:tblPr>
        <w:tblStyle w:val="2"/>
        <w:tblW w:w="8941" w:type="dxa"/>
        <w:jc w:val="center"/>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Layout w:type="autofit"/>
        <w:tblCellMar>
          <w:top w:w="0" w:type="dxa"/>
          <w:left w:w="10" w:type="dxa"/>
          <w:bottom w:w="0" w:type="dxa"/>
          <w:right w:w="10" w:type="dxa"/>
        </w:tblCellMar>
      </w:tblPr>
      <w:tblGrid>
        <w:gridCol w:w="3600"/>
        <w:gridCol w:w="802"/>
        <w:gridCol w:w="802"/>
        <w:gridCol w:w="803"/>
        <w:gridCol w:w="1051"/>
        <w:gridCol w:w="803"/>
        <w:gridCol w:w="1080"/>
      </w:tblGrid>
      <w:tr ns2:paraId="5F06C351">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tblHeader/>
          <w:jc w:val="center"/>
        </w:trPr>
        <w:tc>
          <w:tcPr>
            <w:tcW w:w="3020" w:type="dxa"/>
            <w:tcBorders>
              <w:top w:val="single" w:color="000000" w:sz="12" w:space="0"/>
              <w:left w:val="nil"/>
              <w:bottom w:val="single" w:color="000000" w:sz="4" w:space="0"/>
              <w:right w:val="nil"/>
              <w:tl2br w:val="nil"/>
            </w:tcBorders>
            <w:shd w:val="clear" w:color="auto" w:fill="FFFFFF"/>
            <w:noWrap w:val="0"/>
            <w:tcMar>
              <w:top w:w="-1" w:type="dxa"/>
              <w:left w:w="-1" w:type="dxa"/>
              <w:bottom w:w="-1" w:type="dxa"/>
              <w:right w:w="-1" w:type="dxa"/>
            </w:tcMar>
            <w:vAlign w:val="center"/>
          </w:tcPr>
          <w:p ns2:paraId="1F9916D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模型</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3C14D4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AUC</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0A8E0A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AP</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771D976F">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F1</w:t>
            </w:r>
          </w:p>
        </w:tc>
        <w:tc>
          <w:tcPr>
            <w:tcW w:w="0" w:type="auto"/>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673BA958">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Precision</w:t>
            </w:r>
          </w:p>
        </w:tc>
        <w:tc>
          <w:tcPr>
            <w:tcW w:w="910"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16ACAD13">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Recall</w:t>
            </w:r>
          </w:p>
        </w:tc>
        <w:tc>
          <w:tcPr>
            <w:tcW w:w="1156" w:type="dxa"/>
            <w:tcBorders>
              <w:top w:val="single" w:color="000000" w:sz="12" w:space="0"/>
              <w:left w:val="nil"/>
              <w:bottom w:val="single" w:color="000000" w:sz="4" w:space="0"/>
              <w:right w:val="nil"/>
            </w:tcBorders>
            <w:shd w:val="clear" w:color="auto" w:fill="FFFFFF"/>
            <w:noWrap w:val="0"/>
            <w:tcMar>
              <w:top w:w="-1" w:type="dxa"/>
              <w:left w:w="-1" w:type="dxa"/>
              <w:bottom w:w="-1" w:type="dxa"/>
              <w:right w:w="-1" w:type="dxa"/>
            </w:tcMar>
            <w:vAlign w:val="center"/>
          </w:tcPr>
          <w:p ns2:paraId="54A9130B">
            <w:pPr>
              <w:snapToGrid w:val="0"/>
              <w:spacing w:before="0" w:after="0" w:line="240" w:lineRule="auto"/>
              <w:ind w:left="0" w:leftChars="0" w:right="0" w:rightChars="0" w:firstLine="0" w:firstLineChars="0"/>
              <w:jc w:val="center"/>
              <w:rPr>
                <w:rFonts w:ascii="Times New Roman" w:eastAsia="宋体"/>
                <w:b/>
                <w:color w:val="000000"/>
                <w:sz w:val="24"/>
                <w:szCs w:val="24"/>
              </w:rPr>
            </w:pPr>
            <w:r>
              <w:rPr>
                <w:rFonts w:ascii="Times New Roman" w:hAnsi="Times New Roman" w:eastAsia="宋体"/>
                <w:b/>
                <w:color w:val="000000"/>
                <w:sz w:val="24"/>
                <w:szCs w:val="24"/>
              </w:rPr>
              <w:t>Accuracy</w:t>
            </w:r>
          </w:p>
        </w:tc>
      </w:tr>
      <w:tr ns2:paraId="35251D46">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83EAD21">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Blending(RF+XGB+LGBM+CATB)</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05487349">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0.8593</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8BCA121">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7A05D789">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0.5301</w:t>
            </w:r>
          </w:p>
        </w:tc>
        <w:tc>
          <w:tcPr>
            <w:tcW w:w="0" w:type="auto"/>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3437626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0.7974</w:t>
            </w:r>
          </w:p>
        </w:tc>
        <w:tc>
          <w:tcPr>
            <w:tcW w:w="910"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18F1036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0.3970</w:t>
            </w:r>
          </w:p>
        </w:tc>
        <w:tc>
          <w:tcPr>
            <w:tcW w:w="1156" w:type="dxa"/>
            <w:tcBorders>
              <w:top w:val="single" w:color="000000" w:sz="4" w:space="0"/>
              <w:left w:val="nil"/>
              <w:bottom w:val="nil"/>
              <w:right w:val="nil"/>
            </w:tcBorders>
            <w:shd w:val="clear" w:color="auto" w:fill="FFFFFF"/>
            <w:noWrap w:val="0"/>
            <w:tcMar>
              <w:top w:w="-1" w:type="dxa"/>
              <w:left w:w="-1" w:type="dxa"/>
              <w:bottom w:w="-1" w:type="dxa"/>
              <w:right w:w="-1" w:type="dxa"/>
            </w:tcMar>
            <w:vAlign w:val="center"/>
          </w:tcPr>
          <w:p ns2:paraId="460F48B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0.8688</w:t>
            </w:r>
          </w:p>
        </w:tc>
      </w:tr>
      <w:tr ns2:paraId="280D999C">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6972B2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XGBoost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51AE1AAC">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0.8589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5F7DFC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0.6895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873AA5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0.5617</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9E1599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0.7638</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4EE5107F">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38CD4CF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0.8708</w:t>
            </w:r>
          </w:p>
        </w:tc>
      </w:tr>
      <w:tr ns2:paraId="4C0693D4">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17411DE8">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CatBoost</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374022A">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0.8557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68C2043A">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0.6910</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004A0A3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0.5595</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3BC5B04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0.7555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74AC727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104147A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0.8696</w:t>
            </w:r>
          </w:p>
        </w:tc>
      </w:tr>
      <w:tr ns2:paraId="375A761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3A06141A">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Logistic</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49E3385">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0.8537</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76ADF906">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0.6515</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7B2601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0.5840</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5888FA0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0.4831</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17B2ECC2">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0.7382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004175ED">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0.8040</w:t>
            </w:r>
          </w:p>
        </w:tc>
      </w:tr>
      <w:tr ns2:paraId="7A0C233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nil"/>
              <w:right w:val="nil"/>
            </w:tcBorders>
            <w:shd w:val="clear" w:color="auto" w:fill="FFFFFF"/>
            <w:noWrap w:val="0"/>
            <w:tcMar>
              <w:top w:w="-1" w:type="dxa"/>
              <w:left w:w="-1" w:type="dxa"/>
              <w:bottom w:w="-1" w:type="dxa"/>
              <w:right w:w="-1" w:type="dxa"/>
            </w:tcMar>
            <w:vAlign w:val="center"/>
          </w:tcPr>
          <w:p ns2:paraId="7DDFB44C">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LightGBM</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2362EB6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0.8519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5F2EFD1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0.6769</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2BFD6DD7">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0.5483</w:t>
            </w:r>
          </w:p>
        </w:tc>
        <w:tc>
          <w:tcPr>
            <w:tcW w:w="0" w:type="auto"/>
            <w:tcBorders>
              <w:top w:val="nil"/>
              <w:left w:val="nil"/>
              <w:bottom w:val="nil"/>
              <w:right w:val="nil"/>
            </w:tcBorders>
            <w:shd w:val="clear" w:color="auto" w:fill="FFFFFF"/>
            <w:noWrap w:val="0"/>
            <w:tcMar>
              <w:top w:w="-1" w:type="dxa"/>
              <w:left w:w="-1" w:type="dxa"/>
              <w:bottom w:w="-1" w:type="dxa"/>
              <w:right w:w="-1" w:type="dxa"/>
            </w:tcMar>
            <w:vAlign w:val="center"/>
          </w:tcPr>
          <w:p ns2:paraId="612B5424">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0.7163</w:t>
            </w:r>
          </w:p>
        </w:tc>
        <w:tc>
          <w:tcPr>
            <w:tcW w:w="910" w:type="dxa"/>
            <w:tcBorders>
              <w:top w:val="nil"/>
              <w:left w:val="nil"/>
              <w:bottom w:val="nil"/>
              <w:right w:val="nil"/>
            </w:tcBorders>
            <w:shd w:val="clear" w:color="auto" w:fill="FFFFFF"/>
            <w:noWrap w:val="0"/>
            <w:tcMar>
              <w:top w:w="-1" w:type="dxa"/>
              <w:left w:w="-1" w:type="dxa"/>
              <w:bottom w:w="-1" w:type="dxa"/>
              <w:right w:w="-1" w:type="dxa"/>
            </w:tcMar>
            <w:vAlign w:val="center"/>
          </w:tcPr>
          <w:p ns2:paraId="3F17AEE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0.4442</w:t>
            </w:r>
          </w:p>
        </w:tc>
        <w:tc>
          <w:tcPr>
            <w:tcW w:w="1156" w:type="dxa"/>
            <w:tcBorders>
              <w:top w:val="nil"/>
              <w:left w:val="nil"/>
              <w:bottom w:val="nil"/>
              <w:right w:val="nil"/>
            </w:tcBorders>
            <w:shd w:val="clear" w:color="auto" w:fill="FFFFFF"/>
            <w:noWrap w:val="0"/>
            <w:tcMar>
              <w:top w:w="-1" w:type="dxa"/>
              <w:left w:w="-1" w:type="dxa"/>
              <w:bottom w:w="-1" w:type="dxa"/>
              <w:right w:w="-1" w:type="dxa"/>
            </w:tcMar>
            <w:vAlign w:val="center"/>
          </w:tcPr>
          <w:p ns2:paraId="00925D70">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0.8636</w:t>
            </w:r>
          </w:p>
        </w:tc>
      </w:tr>
      <w:tr ns2:paraId="33D72842">
        <w:tblPrEx>
          <w:tblBorders>
            <w:top w:val="none" w:color="808080" w:sz="8" w:space="0"/>
            <w:left w:val="none" w:color="808080" w:sz="8" w:space="0"/>
            <w:bottom w:val="none" w:color="808080" w:sz="8" w:space="0"/>
            <w:right w:val="none" w:color="808080" w:sz="8" w:space="0"/>
            <w:insideH w:val="none" w:color="808080" w:sz="8" w:space="0"/>
            <w:insideV w:val="none" w:color="808080" w:sz="8" w:space="0"/>
          </w:tblBorders>
          <w:tblCellMar>
            <w:top w:w="0" w:type="dxa"/>
            <w:left w:w="10" w:type="dxa"/>
            <w:bottom w:w="0" w:type="dxa"/>
            <w:right w:w="10" w:type="dxa"/>
          </w:tblCellMar>
        </w:tblPrEx>
        <w:trPr>
          <w:trHeight w:val="0" w:hRule="atLeast"/>
          <w:jc w:val="center"/>
        </w:trPr>
        <w:tc>
          <w:tcPr>
            <w:tcW w:w="302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F260522">
            <w:pPr>
              <w:snapToGrid w:val="0"/>
              <w:spacing w:before="0" w:after="0" w:line="240" w:lineRule="auto"/>
              <w:ind w:left="0" w:leftChars="0" w:right="0" w:rightChars="0" w:firstLine="0" w:firstLineChars="0"/>
              <w:jc w:val="center"/>
              <w:rPr>
                <w:rFonts w:ascii="Times New Roman" w:eastAsia="宋体"/>
                <w:b w:val="0"/>
                <w:color w:val="000000"/>
                <w:sz w:val="24"/>
                <w:szCs w:val="24"/>
              </w:rPr>
            </w:pPr>
            <w:r>
              <w:rPr>
                <w:rFonts w:ascii="Times New Roman" w:hAnsi="Times New Roman" w:eastAsia="宋体"/>
                <w:b w:val="0"/>
                <w:color w:val="000000"/>
                <w:sz w:val="24"/>
                <w:szCs w:val="24"/>
              </w:rPr>
              <w:t>RandomForest</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2D9453B6">
            <w:pPr>
              <w:snapToGrid w:val="0"/>
              <w:spacing w:before="0" w:after="0" w:line="240" w:lineRule="auto"/>
              <w:ind w:left="0" w:leftChars="0" w:right="0" w:rightChars="0" w:firstLine="0" w:firstLineChars="0"/>
              <w:jc w:val="left"/>
              <w:rPr>
                <w:rFonts w:ascii="Times New Roman" w:eastAsia="宋体"/>
                <w:b w:val="0"/>
                <w:color w:val="000000"/>
                <w:sz w:val="24"/>
                <w:szCs w:val="24"/>
              </w:rPr>
            </w:pPr>
            <w:r>
              <w:rPr>
                <w:rFonts w:ascii="Times New Roman" w:hAnsi="Times New Roman" w:eastAsia="宋体"/>
                <w:b w:val="0"/>
                <w:color w:val="000000"/>
                <w:sz w:val="24"/>
                <w:szCs w:val="24"/>
              </w:rPr>
              <w:t>0.8311</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093E17C">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0.6386</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19B9828">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0.1857</w:t>
            </w:r>
          </w:p>
        </w:tc>
        <w:tc>
          <w:tcPr>
            <w:tcW w:w="1125"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0A417065">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0.9412</w:t>
            </w:r>
          </w:p>
        </w:tc>
        <w:tc>
          <w:tcPr>
            <w:tcW w:w="910"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BE029DB">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0.1030</w:t>
            </w:r>
          </w:p>
        </w:tc>
        <w:tc>
          <w:tcPr>
            <w:tcW w:w="1156" w:type="dxa"/>
            <w:tcBorders>
              <w:top w:val="nil"/>
              <w:left w:val="nil"/>
              <w:bottom w:val="single" w:color="000000" w:sz="12" w:space="0"/>
              <w:right w:val="nil"/>
            </w:tcBorders>
            <w:shd w:val="clear" w:color="auto" w:fill="FFFFFF"/>
            <w:noWrap w:val="0"/>
            <w:tcMar>
              <w:top w:w="-1" w:type="dxa"/>
              <w:left w:w="-1" w:type="dxa"/>
              <w:bottom w:w="-1" w:type="dxa"/>
              <w:right w:w="-1" w:type="dxa"/>
            </w:tcMar>
            <w:vAlign w:val="center"/>
          </w:tcPr>
          <w:p ns2:paraId="66CD5BEE">
            <w:pPr>
              <w:snapToGrid w:val="0"/>
              <w:spacing w:before="0" w:after="0" w:line="240" w:lineRule="auto"/>
              <w:ind w:left="0" w:leftChars="0" w:right="0" w:rightChars="0" w:firstLine="0" w:firstLineChars="0"/>
              <w:jc w:val="right"/>
              <w:rPr>
                <w:rFonts w:ascii="Times New Roman" w:eastAsia="宋体"/>
                <w:b w:val="0"/>
                <w:color w:val="000000"/>
                <w:sz w:val="24"/>
                <w:szCs w:val="24"/>
              </w:rPr>
            </w:pPr>
            <w:r>
              <w:rPr>
                <w:rFonts w:ascii="Times New Roman" w:hAnsi="Times New Roman" w:eastAsia="宋体"/>
                <w:b w:val="0"/>
                <w:color w:val="000000"/>
                <w:sz w:val="24"/>
                <w:szCs w:val="24"/>
              </w:rPr>
              <w:t>0.8316</w:t>
            </w:r>
          </w:p>
        </w:tc>
      </w:tr>
    </w:tbl>
    <w:p ns2:paraId="6FE7AA23">
      <w:pPr>
        <w:spacing w:before="0" w:after="0" w:line="420" w:lineRule="auto"/>
        <w:ind w:firstLine="420"/>
        <w:jc w:val="both"/>
      </w:pPr>
      <w:r>
        <w: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w:t>
      </w:r>
    </w:p>
    <w:p ns2:paraId="7696C213">
      <w:pPr>
        <w:spacing w:before="60" w:after="60" w:line="360" w:lineRule="auto"/>
        <w:jc w:val="center"/>
      </w:pPr>
      <w:r>
        <w: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w:drawing>
      </w:r>
    </w:p>
    <w:p ns2:paraId="61D39B81">
      <w:pPr>
        <w:spacing w:before="60" w:after="60" w:line="360" w:lineRule="auto"/>
        <w:jc w:val="center"/>
      </w:pPr>
      <w:r>
        <w: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w:drawing>
      </w:r>
    </w:p>
    <w:p ns2:paraId="35793112">
      <w:pPr>
        <w:spacing w:before="160" w:after="60" w:line="420" w:lineRule="auto"/>
        <w:jc w:val="left"/>
      </w:pPr>
      <w:r>
        <w:t>6 结论与展望</w:t>
      </w:r>
    </w:p>
    <w:p ns2:paraId="1FDCC103">
      <w:pPr>
        <w:spacing w:before="0" w:after="0" w:line="420" w:lineRule="auto"/>
        <w:ind w:firstLine="420"/>
        <w:jc w:val="both"/>
      </w:pPr>
      <w:r>
        <w: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w:t>
      </w:r>
    </w:p>
    <w:p ns2:paraId="064A25FE">
      <w:pPr>
        <w:spacing w:before="0" w:after="0" w:line="420" w:lineRule="auto"/>
        <w:ind w:firstLine="420"/>
        <w:jc w:val="both"/>
      </w:pPr>
      <w:r>
        <w: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w:t>
      </w:r>
    </w:p>
    <w:p ns2:paraId="1BAFC4DA">
      <w:pPr>
        <w:spacing w:before="0" w:after="0" w:line="420" w:lineRule="auto"/>
        <w:ind w:firstLine="420"/>
        <w:jc w:val="both"/>
      </w:pPr>
      <w:r>
        <w: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w:t>
      </w:r>
    </w:p>
    <w:p ns2:paraId="06450458">
      <w:pPr>
        <w:spacing w:before="0" w:after="0" w:line="420" w:lineRule="auto"/>
        <w:ind w:firstLine="420"/>
        <w:jc w:val="both"/>
      </w:pPr>
      <w:r>
        <w: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w:t>
      </w:r>
    </w:p>
    <w:p ns2:paraId="7489B298">
      <w:pPr>
        <w:spacing w:before="0" w:after="0" w:line="420" w:lineRule="auto"/>
        <w:ind w:firstLine="420"/>
        <w:jc w:val="both"/>
      </w:pPr>
      <w:r>
        <w:t>趋势调整型 DID 与逐省剔除检验进一步说明，推进结构改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w:t>
      </w:r>
    </w:p>
    <w:p ns2:paraId="2175E32E">
      <w:pPr>
        <w:spacing w:before="0" w:after="0" w:line="420" w:lineRule="auto"/>
        <w:ind w:firstLine="420"/>
        <w:jc w:val="both"/>
      </w:pPr>
      <w:r>
        <w: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w:t>
      </w:r>
    </w:p>
    <w:p ns2:paraId="712FA685">
      <w:pPr>
        <w:spacing w:before="0" w:after="0" w:line="420" w:lineRule="auto"/>
        <w:ind w:firstLine="420"/>
        <w:jc w:val="both"/>
      </w:pPr>
      <w: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w:t>
      </w:r>
    </w:p>
    <w:p ns2:paraId="712FA685">
      <w:pPr>
        <w:spacing w:before="0" w:after="0" w:line="420" w:lineRule="auto"/>
        <w:ind w:firstLine="420"/>
        <w:jc w:val="both"/>
      </w:pPr>
      <w: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ns2:paraId="712FA685">
      <w:pPr>
        <w:spacing w:before="0" w:after="0" w:line="420" w:lineRule="auto"/>
        <w:ind w:firstLine="420"/>
        <w:jc w:val="both"/>
      </w:pPr>
      <w: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w:t>
      </w:r>
    </w:p>
    <w:p ns2:paraId="70B9E2B8">
      <w:pPr>
        <w:spacing w:before="160" w:after="60" w:line="420" w:lineRule="auto"/>
        <w:jc w:val="left"/>
      </w:pPr>
      <w:r>
        <w:t>参考文献</w:t>
      </w:r>
    </w:p>
    <w:p ns2:paraId="3AD017C0">
      <w:pPr>
        <w:spacing w:before="0" w:after="0" w:line="420" w:lineRule="auto"/>
        <w:ind w:firstLine="420"/>
        <w:jc w:val="both"/>
      </w:pPr>
      <w:r>
        <w:t>1. 孙慧, 梁英子, 袁婷婷, 王轶涵. 2024. PPP政策内容分析及其市场影响. 系统工程学报.</w:t>
      </w:r>
    </w:p>
    <w:p ns2:paraId="3B8F875F">
      <w:pPr>
        <w:spacing w:before="0" w:after="0" w:line="420" w:lineRule="auto"/>
        <w:ind w:firstLine="420"/>
        <w:jc w:val="both"/>
      </w:pPr>
      <w:r>
        <w:t>2. 汪峰, 范明明, 张牧扬, 崔杰. 2025. 经济增长目标引领与项目推进：基于中国PPP项目进程的分析. 世界经济.</w:t>
      </w:r>
    </w:p>
    <w:p ns2:paraId="2700D4A2">
      <w:pPr>
        <w:spacing w:before="0" w:after="0" w:line="420" w:lineRule="auto"/>
        <w:ind w:firstLine="420"/>
        <w:jc w:val="both"/>
      </w:pPr>
      <w:r>
        <w:t>3. 王渊, 李牧南, 梁彦希. 2025. 政策取向一致性与企业高质量绿色转型. 管理世界.</w:t>
      </w:r>
    </w:p>
    <w:p ns2:paraId="43EAED88">
      <w:pPr>
        <w:spacing w:before="0" w:after="0" w:line="420" w:lineRule="auto"/>
        <w:ind w:firstLine="420"/>
        <w:jc w:val="both"/>
      </w:pPr>
      <w:r>
        <w:t>4. 廖燕珠, 莫桂芳. 2025. 变与稳：危机事件触发政策系统的差异化调适——基于机器学习的省级环境政策文本分析. 公共管理与政策评论.</w:t>
      </w:r>
    </w:p>
    <w:p ns2:paraId="20D22E42">
      <w:pPr>
        <w:spacing w:before="0" w:after="0" w:line="420" w:lineRule="auto"/>
        <w:ind w:firstLine="420"/>
        <w:jc w:val="both"/>
      </w:pPr>
      <w:r>
        <w:t>5. 肖永慧. 2025. 大数据综合试验区提升企业数据资产化的机制——基于多期DID模型的实证分析. 中国流通经济.</w:t>
      </w:r>
    </w:p>
    <w:p ns2:paraId="33578262">
      <w:pPr>
        <w:spacing w:before="0" w:after="0" w:line="420" w:lineRule="auto"/>
        <w:ind w:firstLine="420"/>
        <w:jc w:val="both"/>
      </w:pPr>
      <w:r>
        <w:t>6. 范柏乃, 盛中华. 2024. 数字风险治理：研究脉络、理论框架及未来展望. 管理世界.</w:t>
      </w:r>
    </w:p>
    <w:p ns2:paraId="64DCA31D">
      <w:pPr>
        <w:spacing w:before="0" w:after="0" w:line="420" w:lineRule="auto"/>
        <w:ind w:firstLine="420"/>
        <w:jc w:val="both"/>
      </w:pPr>
      <w:r>
        <w:t>7. 王蓝蓝, 刘艳丽. 2024. 基于BERTopic的计算机视觉领域热点技术主题及演化分析.</w:t>
      </w:r>
    </w:p>
    <w:p ns2:paraId="7DD5A20F">
      <w:pPr>
        <w:spacing w:before="0" w:after="0" w:line="420" w:lineRule="auto"/>
        <w:ind w:firstLine="420"/>
        <w:jc w:val="both"/>
      </w:pPr>
      <w:r>
        <w:t>8. 曹玲静, 张志强. 政策信息学视角下政策文本量化方法研究进展.</w:t>
      </w:r>
    </w:p>
    <w:p ns2:paraId="13672D30">
      <w:pPr>
        <w:spacing w:before="0" w:after="0" w:line="420" w:lineRule="auto"/>
        <w:ind w:firstLine="420"/>
        <w:jc w:val="both"/>
      </w:pPr>
      <w:r>
        <w:t>9. 边江泽, 余湄, 秦淇林. 2025. 注册制改革、信息披露与投资者行为——基于创业板定向增发的证据. 管理世界.</w:t>
      </w:r>
    </w:p>
    <w:p ns2:paraId="291DE98B">
      <w:pPr>
        <w:spacing w:before="0" w:after="0" w:line="420" w:lineRule="auto"/>
        <w:ind w:firstLine="420"/>
        <w:jc w:val="both"/>
      </w:pPr>
      <w:r>
        <w:t>10. 刘敏, 张露祥, 平卫英, 黄斐. 2025. 基于大语言模型的多阶段网络舆情驱动群体共识决策方法研究. 管理学报.</w:t>
      </w:r>
    </w:p>
    <w:p ns2:paraId="759EF7BB">
      <w:pPr>
        <w:spacing w:before="0" w:after="0" w:line="420" w:lineRule="auto"/>
        <w:ind w:firstLine="420"/>
        <w:jc w:val="both"/>
      </w:pPr>
      <w:r>
        <w:t>11. 范小云, 王业东, 王道平, 郭文璇, 胡煊翊. 2022. 不同来源金融文本信息含量的异质性分析——基于混合式文本情绪测度方法. 管理世界.</w:t>
      </w:r>
    </w:p>
    <w:p ns2:paraId="3CEA9451">
      <w:pPr>
        <w:spacing w:before="0" w:after="0" w:line="420" w:lineRule="auto"/>
        <w:ind w:firstLine="420"/>
        <w:jc w:val="both"/>
      </w:pPr>
      <w:r>
        <w:t>12. 李牧南等. 2024. 基于深度学习的我国科技政策属性识别.</w:t>
      </w:r>
    </w:p>
    <w:p ns2:paraId="08FB622C">
      <w:pPr>
        <w:spacing w:before="0" w:after="0" w:line="420" w:lineRule="auto"/>
        <w:ind w:firstLine="420"/>
        <w:jc w:val="both"/>
      </w:pPr>
      <w:r>
        <w:t>13. Saito, T., &amp; Rehmsmeier, M. 2015. The precision-recall plot is more informative than the ROC plot when evaluating binary classifiers on imbalanced datasets. PLOS ONE, 10(3): e0118432.</w:t>
      </w:r>
    </w:p>
    <w:p ns2:paraId="43020247">
      <w:pPr>
        <w:spacing w:before="0" w:after="0" w:line="420" w:lineRule="auto"/>
        <w:ind w:firstLine="420"/>
        <w:jc w:val="both"/>
      </w:pPr>
      <w:r>
        <w:t>14. Sun, L., &amp; Abraham, S. 2021. Estimating dynamic treatment effects in event studies with heterogeneous treatment effects. Journal of Econometrics, 225(2): 175-199.</w:t>
      </w:r>
    </w:p>
    <w:p ns2:paraId="40A80004">
      <w:pPr>
        <w:spacing w:before="160" w:after="60" w:line="420" w:lineRule="auto"/>
        <w:jc w:val="left"/>
      </w:pPr>
      <w:r>
        <w:rPr>
          <w:rFonts w:ascii="Times New Roman" w:hAnsi="Times New Roman" w:eastAsia="宋体"/>
          <w:b/>
          <w:sz w:val="28"/>
          <w:szCs w:val="28"/>
        </w:rPr>
        <w:t>附录A 文本分析诊断与样本补充</w:t>
      </w:r>
    </w:p>
    <w:p ns2:paraId="2518E55B">
      <w:pPr>
        <w:spacing w:before="100" w:after="40" w:line="420" w:lineRule="auto"/>
        <w:jc w:val="left"/>
      </w:pPr>
      <w:r>
        <w:rPr>
          <w:rFonts w:ascii="Times New Roman" w:hAnsi="Times New Roman" w:eastAsia="宋体"/>
          <w:b/>
          <w:sz w:val="25"/>
          <w:szCs w:val="25"/>
        </w:rPr>
        <w:t>A1 主题相似性矩阵</w:t>
      </w:r>
    </w:p>
    <w:p ns2:paraId="26CD5BC7">
      <w:pPr>
        <w:spacing w:before="0" w:after="0" w:line="420" w:lineRule="auto"/>
        <w:ind w:firstLine="420"/>
        <w:jc w:val="both"/>
      </w:pPr>
      <w:r>
        <w:rPr>
          <w:rFonts w:ascii="Times New Roman" w:hAnsi="Times New Roman" w:eastAsia="宋体"/>
          <w:sz w:val="24"/>
          <w:szCs w:val="24"/>
        </w:rPr>
        <w: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w:t>
      </w:r>
    </w:p>
    <w:p ns2:paraId="789F5628">
      <w:pPr>
        <w:spacing w:before="100" w:after="40" w:line="420" w:lineRule="auto"/>
        <w:jc w:val="left"/>
      </w:pPr>
      <w:r>
        <w:rPr>
          <w:rFonts w:ascii="Times New Roman" w:hAnsi="Times New Roman" w:eastAsia="宋体"/>
          <w:b/>
          <w:sz w:val="25"/>
          <w:szCs w:val="25"/>
        </w:rPr>
        <w:t>A2 附录表</w:t>
      </w:r>
    </w:p>
    <w:p ns2:paraId="6C5E59EE">
      <w:pPr>
        <w:spacing w:before="0" w:after="40" w:line="420" w:lineRule="auto"/>
        <w:jc w:val="center"/>
      </w:pPr>
      <w:r>
        <w:rPr>
          <w:rFonts w:ascii="Times New Roman" w:hAnsi="Times New Roman" w:eastAsia="宋体"/>
          <w:sz w:val="21"/>
          <w:szCs w:val="21"/>
        </w:rPr>
        <w:t>附表A 样本层级与窗口说明</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700"/>
        <w:gridCol w:w="1350"/>
        <w:gridCol w:w="4950"/>
      </w:tblGrid>
      <w:tr ns2:paraId="1248D0F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EDEDED"/>
            <w:vAlign w:val="center"/>
          </w:tcPr>
          <w:p ns2:paraId="35B575C1">
            <w:pPr>
              <w:spacing w:before="0" w:after="0" w:line="420" w:lineRule="auto"/>
              <w:jc w:val="center"/>
            </w:pPr>
            <w:r>
              <w:rPr>
                <w:rFonts w:ascii="Times New Roman" w:hAnsi="Times New Roman" w:eastAsia="宋体"/>
                <w:b/>
                <w:sz w:val="20"/>
                <w:szCs w:val="20"/>
              </w:rPr>
              <w:t>层级/窗口</w:t>
            </w:r>
          </w:p>
        </w:tc>
        <w:tc>
          <w:tcPr>
            <w:tcW w:w="1350" w:type="dxa"/>
            <w:shd w:val="clear" w:color="auto" w:fill="EDEDED"/>
            <w:vAlign w:val="center"/>
          </w:tcPr>
          <w:p ns2:paraId="550B1FC6">
            <w:pPr>
              <w:spacing w:before="0" w:after="0" w:line="420" w:lineRule="auto"/>
              <w:jc w:val="center"/>
            </w:pPr>
            <w:r>
              <w:rPr>
                <w:rFonts w:ascii="Times New Roman" w:hAnsi="Times New Roman" w:eastAsia="宋体"/>
                <w:b/>
                <w:sz w:val="20"/>
                <w:szCs w:val="20"/>
              </w:rPr>
              <w:t>数量</w:t>
            </w:r>
          </w:p>
        </w:tc>
        <w:tc>
          <w:tcPr>
            <w:tcW w:w="4950" w:type="dxa"/>
            <w:shd w:val="clear" w:color="auto" w:fill="EDEDED"/>
            <w:vAlign w:val="center"/>
          </w:tcPr>
          <w:p ns2:paraId="67617FF3">
            <w:pPr>
              <w:spacing w:before="0" w:after="0" w:line="420" w:lineRule="auto"/>
              <w:jc w:val="center"/>
            </w:pPr>
            <w:r>
              <w:rPr>
                <w:rFonts w:ascii="Times New Roman" w:hAnsi="Times New Roman" w:eastAsia="宋体"/>
                <w:b/>
                <w:sz w:val="20"/>
                <w:szCs w:val="20"/>
              </w:rPr>
              <w:t>说明</w:t>
            </w:r>
          </w:p>
        </w:tc>
      </w:tr>
      <w:tr ns2:paraId="706714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0568D94C">
            <w:pPr>
              <w:spacing w:before="0" w:after="0" w:line="420" w:lineRule="auto"/>
              <w:jc w:val="left"/>
            </w:pPr>
            <w:r>
              <w:rPr>
                <w:rFonts w:ascii="Times New Roman" w:hAnsi="Times New Roman" w:eastAsia="宋体"/>
                <w:sz w:val="20"/>
                <w:szCs w:val="20"/>
              </w:rPr>
              <w:t>全量政策文本池</w:t>
            </w:r>
          </w:p>
        </w:tc>
        <w:tc>
          <w:tcPr>
            <w:tcW w:w="1350" w:type="dxa"/>
            <w:shd w:val="clear" w:color="auto" w:fill="FFFFFF"/>
            <w:vAlign w:val="center"/>
          </w:tcPr>
          <w:p ns2:paraId="546EA975">
            <w:pPr>
              <w:spacing w:before="0" w:after="0" w:line="420" w:lineRule="auto"/>
              <w:jc w:val="left"/>
            </w:pPr>
            <w:r>
              <w:rPr>
                <w:rFonts w:ascii="Times New Roman" w:hAnsi="Times New Roman" w:eastAsia="宋体"/>
                <w:sz w:val="20"/>
                <w:szCs w:val="20"/>
              </w:rPr>
              <w:t>165</w:t>
            </w:r>
          </w:p>
        </w:tc>
        <w:tc>
          <w:tcPr>
            <w:tcW w:w="4950" w:type="dxa"/>
            <w:shd w:val="clear" w:color="auto" w:fill="FFFFFF"/>
            <w:vAlign w:val="center"/>
          </w:tcPr>
          <w:p ns2:paraId="029A4A1F">
            <w:pPr>
              <w:spacing w:before="0" w:after="0" w:line="420" w:lineRule="auto"/>
              <w:jc w:val="left"/>
            </w:pPr>
            <w:r>
              <w:rPr>
                <w:rFonts w:ascii="Times New Roman" w:hAnsi="Times New Roman" w:eastAsia="宋体"/>
                <w:sz w:val="20"/>
                <w:szCs w:val="20"/>
              </w:rPr>
              <w:t>扩展与审计窗口</w:t>
            </w:r>
          </w:p>
        </w:tc>
      </w:tr>
      <w:tr ns2:paraId="090D28C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0DC91577">
            <w:pPr>
              <w:spacing w:before="0" w:after="0" w:line="420" w:lineRule="auto"/>
              <w:jc w:val="left"/>
            </w:pPr>
            <w:r>
              <w:rPr>
                <w:rFonts w:ascii="Times New Roman" w:hAnsi="Times New Roman" w:eastAsia="宋体"/>
                <w:sz w:val="20"/>
                <w:szCs w:val="20"/>
              </w:rPr>
              <w:t>正式DID文档样本</w:t>
            </w:r>
          </w:p>
        </w:tc>
        <w:tc>
          <w:tcPr>
            <w:tcW w:w="1350" w:type="dxa"/>
            <w:shd w:val="clear" w:color="auto" w:fill="FFFFFF"/>
            <w:vAlign w:val="center"/>
          </w:tcPr>
          <w:p ns2:paraId="38FD8346">
            <w:pPr>
              <w:spacing w:before="0" w:after="0" w:line="420" w:lineRule="auto"/>
              <w:jc w:val="left"/>
            </w:pPr>
            <w:r>
              <w:rPr>
                <w:rFonts w:ascii="Times New Roman" w:hAnsi="Times New Roman" w:eastAsia="宋体"/>
                <w:sz w:val="20"/>
                <w:szCs w:val="20"/>
              </w:rPr>
              <w:t>1307</w:t>
            </w:r>
          </w:p>
        </w:tc>
        <w:tc>
          <w:tcPr>
            <w:tcW w:w="4950" w:type="dxa"/>
            <w:shd w:val="clear" w:color="auto" w:fill="FFFFFF"/>
            <w:vAlign w:val="center"/>
          </w:tcPr>
          <w:p ns2:paraId="08B66C7D">
            <w:pPr>
              <w:spacing w:before="0" w:after="0" w:line="420" w:lineRule="auto"/>
              <w:jc w:val="left"/>
            </w:pPr>
            <w:r>
              <w:rPr>
                <w:rFonts w:ascii="Times New Roman" w:hAnsi="Times New Roman" w:eastAsia="宋体"/>
                <w:sz w:val="20"/>
                <w:szCs w:val="20"/>
              </w:rPr>
              <w:t>主识别窗口 2014—2022</w:t>
            </w:r>
          </w:p>
        </w:tc>
      </w:tr>
      <w:tr ns2:paraId="0A10567B">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4770DF55">
            <w:pPr>
              <w:spacing w:before="0" w:after="0" w:line="420" w:lineRule="auto"/>
              <w:jc w:val="left"/>
            </w:pPr>
            <w:r>
              <w:rPr>
                <w:rFonts w:ascii="Times New Roman" w:hAnsi="Times New Roman" w:eastAsia="宋体"/>
                <w:sz w:val="20"/>
                <w:szCs w:val="20"/>
              </w:rPr>
              <w:t>省—年平衡文本单元</w:t>
            </w:r>
          </w:p>
        </w:tc>
        <w:tc>
          <w:tcPr>
            <w:tcW w:w="1350" w:type="dxa"/>
            <w:shd w:val="clear" w:color="auto" w:fill="FFFFFF"/>
            <w:vAlign w:val="center"/>
          </w:tcPr>
          <w:p ns2:paraId="06C9F355">
            <w:pPr>
              <w:spacing w:before="0" w:after="0" w:line="420" w:lineRule="auto"/>
              <w:jc w:val="left"/>
            </w:pPr>
            <w:r>
              <w:rPr>
                <w:rFonts w:ascii="Times New Roman" w:hAnsi="Times New Roman" w:eastAsia="宋体"/>
                <w:sz w:val="20"/>
                <w:szCs w:val="20"/>
              </w:rPr>
              <w:t>288</w:t>
            </w:r>
          </w:p>
        </w:tc>
        <w:tc>
          <w:tcPr>
            <w:tcW w:w="4950" w:type="dxa"/>
            <w:shd w:val="clear" w:color="auto" w:fill="FFFFFF"/>
            <w:vAlign w:val="center"/>
          </w:tcPr>
          <w:p ns2:paraId="5073AD5B">
            <w:pPr>
              <w:spacing w:before="0" w:after="0" w:line="420" w:lineRule="auto"/>
              <w:jc w:val="left"/>
            </w:pPr>
            <w:r>
              <w:rPr>
                <w:rFonts w:ascii="Times New Roman" w:hAnsi="Times New Roman" w:eastAsia="宋体"/>
                <w:sz w:val="20"/>
                <w:szCs w:val="20"/>
              </w:rPr>
              <w:t>方案2 平衡口径</w:t>
            </w:r>
          </w:p>
        </w:tc>
      </w:tr>
      <w:tr ns2:paraId="17B7FC6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5F2C8124">
            <w:pPr>
              <w:spacing w:before="0" w:after="0" w:line="420" w:lineRule="auto"/>
              <w:jc w:val="left"/>
            </w:pPr>
            <w:r>
              <w:rPr>
                <w:rFonts w:ascii="Times New Roman" w:hAnsi="Times New Roman" w:eastAsia="宋体"/>
                <w:sz w:val="20"/>
                <w:szCs w:val="20"/>
              </w:rPr>
              <w:t>V3主面板观测</w:t>
            </w:r>
          </w:p>
        </w:tc>
        <w:tc>
          <w:tcPr>
            <w:tcW w:w="1350" w:type="dxa"/>
            <w:shd w:val="clear" w:color="auto" w:fill="FFFFFF"/>
            <w:vAlign w:val="center"/>
          </w:tcPr>
          <w:p ns2:paraId="07579DDC">
            <w:pPr>
              <w:spacing w:before="0" w:after="0" w:line="420" w:lineRule="auto"/>
              <w:jc w:val="left"/>
            </w:pPr>
            <w:r>
              <w:rPr>
                <w:rFonts w:ascii="Times New Roman" w:hAnsi="Times New Roman" w:eastAsia="宋体"/>
                <w:sz w:val="20"/>
                <w:szCs w:val="20"/>
              </w:rPr>
              <w:t>266</w:t>
            </w:r>
          </w:p>
        </w:tc>
        <w:tc>
          <w:tcPr>
            <w:tcW w:w="4950" w:type="dxa"/>
            <w:shd w:val="clear" w:color="auto" w:fill="FFFFFF"/>
            <w:vAlign w:val="center"/>
          </w:tcPr>
          <w:p ns2:paraId="264ABFA2">
            <w:pPr>
              <w:spacing w:before="0" w:after="0" w:line="420" w:lineRule="auto"/>
              <w:jc w:val="left"/>
            </w:pPr>
            <w:r>
              <w:rPr>
                <w:rFonts w:ascii="Times New Roman" w:hAnsi="Times New Roman" w:eastAsia="宋体"/>
                <w:sz w:val="20"/>
                <w:szCs w:val="20"/>
              </w:rPr>
              <w:t>覆盖地区单元=32</w:t>
            </w:r>
          </w:p>
        </w:tc>
      </w:tr>
      <w:tr ns2:paraId="391176CC">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1B6170E9">
            <w:pPr>
              <w:spacing w:before="0" w:after="0" w:line="420" w:lineRule="auto"/>
              <w:jc w:val="left"/>
            </w:pPr>
            <w:r>
              <w:rPr>
                <w:rFonts w:ascii="Times New Roman" w:hAnsi="Times New Roman" w:eastAsia="宋体"/>
                <w:sz w:val="20"/>
                <w:szCs w:val="20"/>
              </w:rPr>
              <w:t>正式基准回归样本</w:t>
            </w:r>
          </w:p>
        </w:tc>
        <w:tc>
          <w:tcPr>
            <w:tcW w:w="1350" w:type="dxa"/>
            <w:shd w:val="clear" w:color="auto" w:fill="FFFFFF"/>
            <w:vAlign w:val="center"/>
          </w:tcPr>
          <w:p ns2:paraId="3E24DE7B">
            <w:pPr>
              <w:spacing w:before="0" w:after="0" w:line="420" w:lineRule="auto"/>
              <w:jc w:val="left"/>
            </w:pPr>
            <w:r>
              <w:rPr>
                <w:rFonts w:ascii="Times New Roman" w:hAnsi="Times New Roman" w:eastAsia="宋体"/>
                <w:sz w:val="20"/>
                <w:szCs w:val="20"/>
              </w:rPr>
              <w:t>262</w:t>
            </w:r>
          </w:p>
        </w:tc>
        <w:tc>
          <w:tcPr>
            <w:tcW w:w="4950" w:type="dxa"/>
            <w:shd w:val="clear" w:color="auto" w:fill="FFFFFF"/>
            <w:vAlign w:val="center"/>
          </w:tcPr>
          <w:p ns2:paraId="52ABE5C1">
            <w:pPr>
              <w:spacing w:before="0" w:after="0" w:line="420" w:lineRule="auto"/>
              <w:jc w:val="left"/>
            </w:pPr>
            <w:r>
              <w:rPr>
                <w:rFonts w:ascii="Times New Roman" w:hAnsi="Times New Roman" w:eastAsia="宋体"/>
                <w:sz w:val="20"/>
                <w:szCs w:val="20"/>
              </w:rPr>
              <w:t>表4对应样本</w:t>
            </w:r>
          </w:p>
        </w:tc>
      </w:tr>
      <w:tr ns2:paraId="11BF6004">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555A4DF7">
            <w:pPr>
              <w:spacing w:before="0" w:after="0" w:line="420" w:lineRule="auto"/>
              <w:jc w:val="left"/>
            </w:pPr>
            <w:r>
              <w:rPr>
                <w:rFonts w:ascii="Times New Roman" w:hAnsi="Times New Roman" w:eastAsia="宋体"/>
                <w:sz w:val="20"/>
                <w:szCs w:val="20"/>
              </w:rPr>
              <w:t>首次处理年2016</w:t>
            </w:r>
          </w:p>
        </w:tc>
        <w:tc>
          <w:tcPr>
            <w:tcW w:w="1350" w:type="dxa"/>
            <w:shd w:val="clear" w:color="auto" w:fill="FFFFFF"/>
            <w:vAlign w:val="center"/>
          </w:tcPr>
          <w:p ns2:paraId="33660590">
            <w:pPr>
              <w:spacing w:before="0" w:after="0" w:line="420" w:lineRule="auto"/>
              <w:jc w:val="left"/>
            </w:pPr>
            <w:r>
              <w:rPr>
                <w:rFonts w:ascii="Times New Roman" w:hAnsi="Times New Roman" w:eastAsia="宋体"/>
                <w:sz w:val="20"/>
                <w:szCs w:val="20"/>
              </w:rPr>
              <w:t>28</w:t>
            </w:r>
          </w:p>
        </w:tc>
        <w:tc>
          <w:tcPr>
            <w:tcW w:w="4950" w:type="dxa"/>
            <w:shd w:val="clear" w:color="auto" w:fill="FFFFFF"/>
            <w:vAlign w:val="center"/>
          </w:tcPr>
          <w:p ns2:paraId="32FD2723">
            <w:pPr>
              <w:spacing w:before="0" w:after="0" w:line="420" w:lineRule="auto"/>
              <w:jc w:val="left"/>
            </w:pPr>
            <w:r>
              <w:rPr>
                <w:rFonts w:ascii="Times New Roman" w:hAnsi="Times New Roman" w:eastAsia="宋体"/>
                <w:sz w:val="20"/>
                <w:szCs w:val="20"/>
              </w:rPr>
              <w:t>多期DID主要处理批次</w:t>
            </w:r>
          </w:p>
        </w:tc>
      </w:tr>
      <w:tr ns2:paraId="3B8CA4FA">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700" w:type="dxa"/>
            <w:shd w:val="clear" w:color="auto" w:fill="FFFFFF"/>
            <w:vAlign w:val="center"/>
          </w:tcPr>
          <w:p ns2:paraId="7906F97C">
            <w:pPr>
              <w:spacing w:before="0" w:after="0" w:line="420" w:lineRule="auto"/>
              <w:jc w:val="left"/>
            </w:pPr>
            <w:r>
              <w:rPr>
                <w:rFonts w:ascii="Times New Roman" w:hAnsi="Times New Roman" w:eastAsia="宋体"/>
                <w:sz w:val="20"/>
                <w:szCs w:val="20"/>
              </w:rPr>
              <w:t>首次处理年2017</w:t>
            </w:r>
          </w:p>
        </w:tc>
        <w:tc>
          <w:tcPr>
            <w:tcW w:w="1350" w:type="dxa"/>
            <w:shd w:val="clear" w:color="auto" w:fill="FFFFFF"/>
            <w:vAlign w:val="center"/>
          </w:tcPr>
          <w:p ns2:paraId="31C5839D">
            <w:pPr>
              <w:spacing w:before="0" w:after="0" w:line="420" w:lineRule="auto"/>
              <w:jc w:val="left"/>
            </w:pPr>
            <w:r>
              <w:rPr>
                <w:rFonts w:ascii="Times New Roman" w:hAnsi="Times New Roman" w:eastAsia="宋体"/>
                <w:sz w:val="20"/>
                <w:szCs w:val="20"/>
              </w:rPr>
              <w:t>1</w:t>
            </w:r>
          </w:p>
        </w:tc>
        <w:tc>
          <w:tcPr>
            <w:tcW w:w="4950" w:type="dxa"/>
            <w:shd w:val="clear" w:color="auto" w:fill="FFFFFF"/>
            <w:vAlign w:val="center"/>
          </w:tcPr>
          <w:p ns2:paraId="0A9D5B2E">
            <w:pPr>
              <w:spacing w:before="0" w:after="0" w:line="420" w:lineRule="auto"/>
              <w:jc w:val="left"/>
            </w:pPr>
            <w:r>
              <w:rPr>
                <w:rFonts w:ascii="Times New Roman" w:hAnsi="Times New Roman" w:eastAsia="宋体"/>
                <w:sz w:val="20"/>
                <w:szCs w:val="20"/>
              </w:rPr>
              <w:t>少量后续处理</w:t>
            </w:r>
          </w:p>
        </w:tc>
      </w:tr>
    </w:tbl>
    <w:p ns2:paraId="16AB49A3">
      <w:pPr>
        <w:spacing w:before="0" w:after="40" w:line="420" w:lineRule="auto"/>
        <w:jc w:val="center"/>
      </w:pPr>
      <w:r>
        <w:rPr>
          <w:rFonts w:ascii="Times New Roman" w:hAnsi="Times New Roman" w:eastAsia="宋体"/>
          <w:sz w:val="21"/>
          <w:szCs w:val="21"/>
        </w:rPr>
        <w:t>附表B 主题维度覆盖率</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600"/>
        <w:gridCol w:w="1500"/>
        <w:gridCol w:w="1500"/>
        <w:gridCol w:w="1500"/>
        <w:gridCol w:w="2900"/>
      </w:tblGrid>
      <w:tr ns2:paraId="1782B6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EDEDED"/>
            <w:vAlign w:val="center"/>
          </w:tcPr>
          <w:p ns2:paraId="107094CD">
            <w:pPr>
              <w:spacing w:before="0" w:after="0" w:line="420" w:lineRule="auto"/>
              <w:jc w:val="center"/>
            </w:pPr>
            <w:r>
              <w:rPr>
                <w:rFonts w:ascii="Times New Roman" w:hAnsi="Times New Roman" w:eastAsia="宋体"/>
                <w:b/>
                <w:sz w:val="20"/>
                <w:szCs w:val="20"/>
              </w:rPr>
              <w:t>维度</w:t>
            </w:r>
          </w:p>
        </w:tc>
        <w:tc>
          <w:tcPr>
            <w:tcW w:w="1500" w:type="dxa"/>
            <w:shd w:val="clear" w:color="auto" w:fill="EDEDED"/>
            <w:vAlign w:val="center"/>
          </w:tcPr>
          <w:p ns2:paraId="0744770C">
            <w:pPr>
              <w:spacing w:before="0" w:after="0" w:line="420" w:lineRule="auto"/>
              <w:jc w:val="center"/>
            </w:pPr>
            <w:r>
              <w:rPr>
                <w:rFonts w:ascii="Times New Roman" w:hAnsi="Times New Roman" w:eastAsia="宋体"/>
                <w:b/>
                <w:sz w:val="20"/>
                <w:szCs w:val="20"/>
              </w:rPr>
              <w:t>文档覆盖率</w:t>
            </w:r>
          </w:p>
        </w:tc>
        <w:tc>
          <w:tcPr>
            <w:tcW w:w="1500" w:type="dxa"/>
            <w:shd w:val="clear" w:color="auto" w:fill="EDEDED"/>
            <w:vAlign w:val="center"/>
          </w:tcPr>
          <w:p ns2:paraId="69F3C0AD">
            <w:pPr>
              <w:spacing w:before="0" w:after="0" w:line="420" w:lineRule="auto"/>
              <w:jc w:val="center"/>
            </w:pPr>
            <w:r>
              <w:rPr>
                <w:rFonts w:ascii="Times New Roman" w:hAnsi="Times New Roman" w:eastAsia="宋体"/>
                <w:b/>
                <w:sz w:val="20"/>
                <w:szCs w:val="20"/>
              </w:rPr>
              <w:t>平均share</w:t>
            </w:r>
          </w:p>
        </w:tc>
        <w:tc>
          <w:tcPr>
            <w:tcW w:w="1500" w:type="dxa"/>
            <w:shd w:val="clear" w:color="auto" w:fill="EDEDED"/>
            <w:vAlign w:val="center"/>
          </w:tcPr>
          <w:p ns2:paraId="7EEFA4F0">
            <w:pPr>
              <w:spacing w:before="0" w:after="0" w:line="420" w:lineRule="auto"/>
              <w:jc w:val="center"/>
            </w:pPr>
            <w:r>
              <w:rPr>
                <w:rFonts w:ascii="Times New Roman" w:hAnsi="Times New Roman" w:eastAsia="宋体"/>
                <w:b/>
                <w:sz w:val="20"/>
                <w:szCs w:val="20"/>
              </w:rPr>
              <w:t>平均idx</w:t>
            </w:r>
          </w:p>
        </w:tc>
        <w:tc>
          <w:tcPr>
            <w:tcW w:w="2900" w:type="dxa"/>
            <w:shd w:val="clear" w:color="auto" w:fill="EDEDED"/>
            <w:vAlign w:val="center"/>
          </w:tcPr>
          <w:p ns2:paraId="509CB3A1">
            <w:pPr>
              <w:spacing w:before="0" w:after="0" w:line="420" w:lineRule="auto"/>
              <w:jc w:val="center"/>
            </w:pPr>
            <w:r>
              <w:rPr>
                <w:rFonts w:ascii="Times New Roman" w:hAnsi="Times New Roman" w:eastAsia="宋体"/>
                <w:b/>
                <w:sz w:val="20"/>
                <w:szCs w:val="20"/>
              </w:rPr>
              <w:t>说明</w:t>
            </w:r>
          </w:p>
        </w:tc>
      </w:tr>
      <w:tr ns2:paraId="3DD5B7A8">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ns2:paraId="1759900F">
            <w:pPr>
              <w:spacing w:before="0" w:after="0" w:line="420" w:lineRule="auto"/>
              <w:jc w:val="left"/>
            </w:pPr>
            <w:r>
              <w:rPr>
                <w:rFonts w:ascii="Times New Roman" w:hAnsi="Times New Roman" w:eastAsia="宋体"/>
                <w:sz w:val="20"/>
                <w:szCs w:val="20"/>
              </w:rPr>
              <w:t>A维度</w:t>
            </w:r>
          </w:p>
        </w:tc>
        <w:tc>
          <w:tcPr>
            <w:tcW w:w="1500" w:type="dxa"/>
            <w:shd w:val="clear" w:color="auto" w:fill="FFFFFF"/>
            <w:vAlign w:val="center"/>
          </w:tcPr>
          <w:p ns2:paraId="6F947C11">
            <w:pPr>
              <w:spacing w:before="0" w:after="0" w:line="420" w:lineRule="auto"/>
              <w:jc w:val="left"/>
            </w:pPr>
            <w:r>
              <w:rPr>
                <w:rFonts w:ascii="Times New Roman" w:hAnsi="Times New Roman" w:eastAsia="宋体"/>
                <w:sz w:val="20"/>
                <w:szCs w:val="20"/>
              </w:rPr>
              <w:t>0.7506</w:t>
            </w:r>
          </w:p>
        </w:tc>
        <w:tc>
          <w:tcPr>
            <w:tcW w:w="1500" w:type="dxa"/>
            <w:shd w:val="clear" w:color="auto" w:fill="FFFFFF"/>
            <w:vAlign w:val="center"/>
          </w:tcPr>
          <w:p ns2:paraId="1D882887">
            <w:pPr>
              <w:spacing w:before="0" w:after="0" w:line="420" w:lineRule="auto"/>
              <w:jc w:val="left"/>
            </w:pPr>
            <w:r>
              <w:rPr>
                <w:rFonts w:ascii="Times New Roman" w:hAnsi="Times New Roman" w:eastAsia="宋体"/>
                <w:sz w:val="20"/>
                <w:szCs w:val="20"/>
              </w:rPr>
              <w:t>0.0788</w:t>
            </w:r>
          </w:p>
        </w:tc>
        <w:tc>
          <w:tcPr>
            <w:tcW w:w="1500" w:type="dxa"/>
            <w:shd w:val="clear" w:color="auto" w:fill="FFFFFF"/>
            <w:vAlign w:val="center"/>
          </w:tcPr>
          <w:p ns2:paraId="0879E251">
            <w:pPr>
              <w:spacing w:before="0" w:after="0" w:line="420" w:lineRule="auto"/>
              <w:jc w:val="left"/>
            </w:pPr>
            <w:r>
              <w:rPr>
                <w:rFonts w:ascii="Times New Roman" w:hAnsi="Times New Roman" w:eastAsia="宋体"/>
                <w:sz w:val="20"/>
                <w:szCs w:val="20"/>
              </w:rPr>
              <w:t>29.7637</w:t>
            </w:r>
          </w:p>
        </w:tc>
        <w:tc>
          <w:tcPr>
            <w:tcW w:w="2900" w:type="dxa"/>
            <w:shd w:val="clear" w:color="auto" w:fill="FFFFFF"/>
            <w:vAlign w:val="center"/>
          </w:tcPr>
          <w:p ns2:paraId="14538BDE">
            <w:pPr>
              <w:spacing w:before="0" w:after="0" w:line="420" w:lineRule="auto"/>
              <w:jc w:val="left"/>
            </w:pPr>
            <w:r>
              <w:rPr>
                <w:rFonts w:ascii="Times New Roman" w:hAnsi="Times New Roman" w:eastAsia="宋体"/>
                <w:sz w:val="20"/>
                <w:szCs w:val="20"/>
              </w:rPr>
              <w:t>文档级代码本覆盖率诊断</w:t>
            </w:r>
          </w:p>
        </w:tc>
      </w:tr>
      <w:tr ns2:paraId="17A7C34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ns2:paraId="3D8C5DCF">
            <w:pPr>
              <w:spacing w:before="0" w:after="0" w:line="420" w:lineRule="auto"/>
              <w:jc w:val="left"/>
            </w:pPr>
            <w:r>
              <w:rPr>
                <w:rFonts w:ascii="Times New Roman" w:hAnsi="Times New Roman" w:eastAsia="宋体"/>
                <w:sz w:val="20"/>
                <w:szCs w:val="20"/>
              </w:rPr>
              <w:t>B维度</w:t>
            </w:r>
          </w:p>
        </w:tc>
        <w:tc>
          <w:tcPr>
            <w:tcW w:w="1500" w:type="dxa"/>
            <w:shd w:val="clear" w:color="auto" w:fill="FFFFFF"/>
            <w:vAlign w:val="center"/>
          </w:tcPr>
          <w:p ns2:paraId="74FFB49F">
            <w:pPr>
              <w:spacing w:before="0" w:after="0" w:line="420" w:lineRule="auto"/>
              <w:jc w:val="left"/>
            </w:pPr>
            <w:r>
              <w:rPr>
                <w:rFonts w:ascii="Times New Roman" w:hAnsi="Times New Roman" w:eastAsia="宋体"/>
                <w:sz w:val="20"/>
                <w:szCs w:val="20"/>
              </w:rPr>
              <w:t>0.8401</w:t>
            </w:r>
          </w:p>
        </w:tc>
        <w:tc>
          <w:tcPr>
            <w:tcW w:w="1500" w:type="dxa"/>
            <w:shd w:val="clear" w:color="auto" w:fill="FFFFFF"/>
            <w:vAlign w:val="center"/>
          </w:tcPr>
          <w:p ns2:paraId="37DC2CCA">
            <w:pPr>
              <w:spacing w:before="0" w:after="0" w:line="420" w:lineRule="auto"/>
              <w:jc w:val="left"/>
            </w:pPr>
            <w:r>
              <w:rPr>
                <w:rFonts w:ascii="Times New Roman" w:hAnsi="Times New Roman" w:eastAsia="宋体"/>
                <w:sz w:val="20"/>
                <w:szCs w:val="20"/>
              </w:rPr>
              <w:t>0.4897</w:t>
            </w:r>
          </w:p>
        </w:tc>
        <w:tc>
          <w:tcPr>
            <w:tcW w:w="1500" w:type="dxa"/>
            <w:shd w:val="clear" w:color="auto" w:fill="FFFFFF"/>
            <w:vAlign w:val="center"/>
          </w:tcPr>
          <w:p ns2:paraId="366DC9C0">
            <w:pPr>
              <w:spacing w:before="0" w:after="0" w:line="420" w:lineRule="auto"/>
              <w:jc w:val="left"/>
            </w:pPr>
            <w:r>
              <w:rPr>
                <w:rFonts w:ascii="Times New Roman" w:hAnsi="Times New Roman" w:eastAsia="宋体"/>
                <w:sz w:val="20"/>
                <w:szCs w:val="20"/>
              </w:rPr>
              <w:t>62.3245</w:t>
            </w:r>
          </w:p>
        </w:tc>
        <w:tc>
          <w:tcPr>
            <w:tcW w:w="2900" w:type="dxa"/>
            <w:shd w:val="clear" w:color="auto" w:fill="FFFFFF"/>
            <w:vAlign w:val="center"/>
          </w:tcPr>
          <w:p ns2:paraId="463C37E6">
            <w:pPr>
              <w:spacing w:before="0" w:after="0" w:line="420" w:lineRule="auto"/>
              <w:jc w:val="left"/>
            </w:pPr>
            <w:r>
              <w:rPr>
                <w:rFonts w:ascii="Times New Roman" w:hAnsi="Times New Roman" w:eastAsia="宋体"/>
                <w:sz w:val="20"/>
                <w:szCs w:val="20"/>
              </w:rPr>
              <w:t>文档级代码本覆盖率诊断</w:t>
            </w:r>
          </w:p>
        </w:tc>
      </w:tr>
      <w:tr ns2:paraId="2BAB8EE3">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ns2:paraId="4B55F112">
            <w:pPr>
              <w:spacing w:before="0" w:after="0" w:line="420" w:lineRule="auto"/>
              <w:jc w:val="left"/>
            </w:pPr>
            <w:r>
              <w:rPr>
                <w:rFonts w:ascii="Times New Roman" w:hAnsi="Times New Roman" w:eastAsia="宋体"/>
                <w:sz w:val="20"/>
                <w:szCs w:val="20"/>
              </w:rPr>
              <w:t>C维度</w:t>
            </w:r>
          </w:p>
        </w:tc>
        <w:tc>
          <w:tcPr>
            <w:tcW w:w="1500" w:type="dxa"/>
            <w:shd w:val="clear" w:color="auto" w:fill="FFFFFF"/>
            <w:vAlign w:val="center"/>
          </w:tcPr>
          <w:p ns2:paraId="2E57B79E">
            <w:pPr>
              <w:spacing w:before="0" w:after="0" w:line="420" w:lineRule="auto"/>
              <w:jc w:val="left"/>
            </w:pPr>
            <w:r>
              <w:rPr>
                <w:rFonts w:ascii="Times New Roman" w:hAnsi="Times New Roman" w:eastAsia="宋体"/>
                <w:sz w:val="20"/>
                <w:szCs w:val="20"/>
              </w:rPr>
              <w:t>0.9533</w:t>
            </w:r>
          </w:p>
        </w:tc>
        <w:tc>
          <w:tcPr>
            <w:tcW w:w="1500" w:type="dxa"/>
            <w:shd w:val="clear" w:color="auto" w:fill="FFFFFF"/>
            <w:vAlign w:val="center"/>
          </w:tcPr>
          <w:p ns2:paraId="24342FF6">
            <w:pPr>
              <w:spacing w:before="0" w:after="0" w:line="420" w:lineRule="auto"/>
              <w:jc w:val="left"/>
            </w:pPr>
            <w:r>
              <w:rPr>
                <w:rFonts w:ascii="Times New Roman" w:hAnsi="Times New Roman" w:eastAsia="宋体"/>
                <w:sz w:val="20"/>
                <w:szCs w:val="20"/>
              </w:rPr>
              <w:t>0.4315</w:t>
            </w:r>
          </w:p>
        </w:tc>
        <w:tc>
          <w:tcPr>
            <w:tcW w:w="1500" w:type="dxa"/>
            <w:shd w:val="clear" w:color="auto" w:fill="FFFFFF"/>
            <w:vAlign w:val="center"/>
          </w:tcPr>
          <w:p ns2:paraId="171B5810">
            <w:pPr>
              <w:spacing w:before="0" w:after="0" w:line="420" w:lineRule="auto"/>
              <w:jc w:val="left"/>
            </w:pPr>
            <w:r>
              <w:rPr>
                <w:rFonts w:ascii="Times New Roman" w:hAnsi="Times New Roman" w:eastAsia="宋体"/>
                <w:sz w:val="20"/>
                <w:szCs w:val="20"/>
              </w:rPr>
              <w:t>167.8381</w:t>
            </w:r>
          </w:p>
        </w:tc>
        <w:tc>
          <w:tcPr>
            <w:tcW w:w="2900" w:type="dxa"/>
            <w:shd w:val="clear" w:color="auto" w:fill="FFFFFF"/>
            <w:vAlign w:val="center"/>
          </w:tcPr>
          <w:p ns2:paraId="76F32EBB">
            <w:pPr>
              <w:spacing w:before="0" w:after="0" w:line="420" w:lineRule="auto"/>
              <w:jc w:val="left"/>
            </w:pPr>
            <w:r>
              <w:rPr>
                <w:rFonts w:ascii="Times New Roman" w:hAnsi="Times New Roman" w:eastAsia="宋体"/>
                <w:sz w:val="20"/>
                <w:szCs w:val="20"/>
              </w:rPr>
              <w:t>文档级代码本覆盖率诊断</w:t>
            </w:r>
          </w:p>
        </w:tc>
      </w:tr>
      <w:tr ns2:paraId="14930D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600" w:type="dxa"/>
            <w:shd w:val="clear" w:color="auto" w:fill="FFFFFF"/>
            <w:vAlign w:val="center"/>
          </w:tcPr>
          <w:p ns2:paraId="50DF04A1">
            <w:pPr>
              <w:spacing w:before="0" w:after="0" w:line="420" w:lineRule="auto"/>
              <w:jc w:val="left"/>
            </w:pPr>
            <w:r>
              <w:rPr>
                <w:rFonts w:ascii="Times New Roman" w:hAnsi="Times New Roman" w:eastAsia="宋体"/>
                <w:sz w:val="20"/>
                <w:szCs w:val="20"/>
              </w:rPr>
              <w:t>D维度</w:t>
            </w:r>
          </w:p>
        </w:tc>
        <w:tc>
          <w:tcPr>
            <w:tcW w:w="1500" w:type="dxa"/>
            <w:shd w:val="clear" w:color="auto" w:fill="FFFFFF"/>
            <w:vAlign w:val="center"/>
          </w:tcPr>
          <w:p ns2:paraId="04C7A18F">
            <w:pPr>
              <w:spacing w:before="0" w:after="0" w:line="420" w:lineRule="auto"/>
              <w:jc w:val="left"/>
            </w:pPr>
            <w:r>
              <w:rPr>
                <w:rFonts w:ascii="Times New Roman" w:hAnsi="Times New Roman" w:eastAsia="宋体"/>
                <w:sz w:val="20"/>
                <w:szCs w:val="20"/>
              </w:rPr>
              <w:t>0.7666</w:t>
            </w:r>
          </w:p>
        </w:tc>
        <w:tc>
          <w:tcPr>
            <w:tcW w:w="1500" w:type="dxa"/>
            <w:shd w:val="clear" w:color="auto" w:fill="FFFFFF"/>
            <w:vAlign w:val="center"/>
          </w:tcPr>
          <w:p ns2:paraId="1FCE7267">
            <w:pPr>
              <w:spacing w:before="0" w:after="0" w:line="420" w:lineRule="auto"/>
              <w:jc w:val="left"/>
            </w:pPr>
            <w:r>
              <w:rPr>
                <w:rFonts w:ascii="Times New Roman" w:hAnsi="Times New Roman" w:eastAsia="宋体"/>
                <w:sz w:val="20"/>
                <w:szCs w:val="20"/>
              </w:rPr>
              <w:t>0.0000</w:t>
            </w:r>
          </w:p>
        </w:tc>
        <w:tc>
          <w:tcPr>
            <w:tcW w:w="1500" w:type="dxa"/>
            <w:shd w:val="clear" w:color="auto" w:fill="FFFFFF"/>
            <w:vAlign w:val="center"/>
          </w:tcPr>
          <w:p ns2:paraId="680AA9A3">
            <w:pPr>
              <w:spacing w:before="0" w:after="0" w:line="420" w:lineRule="auto"/>
              <w:jc w:val="left"/>
            </w:pPr>
            <w:r>
              <w:rPr>
                <w:rFonts w:ascii="Times New Roman" w:hAnsi="Times New Roman" w:eastAsia="宋体"/>
                <w:sz w:val="20"/>
                <w:szCs w:val="20"/>
              </w:rPr>
              <w:t>30.4879</w:t>
            </w:r>
          </w:p>
        </w:tc>
        <w:tc>
          <w:tcPr>
            <w:tcW w:w="2900" w:type="dxa"/>
            <w:shd w:val="clear" w:color="auto" w:fill="FFFFFF"/>
            <w:vAlign w:val="center"/>
          </w:tcPr>
          <w:p ns2:paraId="3CF0CA69">
            <w:pPr>
              <w:spacing w:before="0" w:after="0" w:line="420" w:lineRule="auto"/>
              <w:jc w:val="left"/>
            </w:pPr>
            <w:r>
              <w:rPr>
                <w:rFonts w:ascii="Times New Roman" w:hAnsi="Times New Roman" w:eastAsia="宋体"/>
                <w:sz w:val="20"/>
                <w:szCs w:val="20"/>
              </w:rPr>
              <w:t>文档级代码本覆盖率诊断</w:t>
            </w:r>
          </w:p>
        </w:tc>
      </w:tr>
    </w:tbl>
    <w:p ns2:paraId="4A7CF27F">
      <w:pPr>
        <w:spacing w:before="0" w:after="40" w:line="420" w:lineRule="auto"/>
        <w:jc w:val="center"/>
      </w:pPr>
      <w:r>
        <w:rPr>
          <w:rFonts w:ascii="Times New Roman" w:hAnsi="Times New Roman" w:eastAsia="宋体"/>
          <w:sz w:val="21"/>
          <w:szCs w:val="21"/>
        </w:rPr>
        <w:t>附表C 处理年份结构</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1870"/>
        <w:gridCol w:w="1402"/>
        <w:gridCol w:w="5727"/>
      </w:tblGrid>
      <w:tr ns2:paraId="5238F8D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EDEDED"/>
            <w:vAlign w:val="center"/>
          </w:tcPr>
          <w:p ns2:paraId="74D573D4">
            <w:pPr>
              <w:spacing w:before="0" w:after="0" w:line="420" w:lineRule="auto"/>
              <w:jc w:val="center"/>
            </w:pPr>
            <w:r>
              <w:rPr>
                <w:rFonts w:ascii="Times New Roman" w:hAnsi="Times New Roman" w:eastAsia="宋体"/>
                <w:b/>
                <w:sz w:val="20"/>
                <w:szCs w:val="20"/>
              </w:rPr>
              <w:t>处理年份结构</w:t>
            </w:r>
          </w:p>
        </w:tc>
        <w:tc>
          <w:tcPr>
            <w:tcW w:w="1402" w:type="dxa"/>
            <w:shd w:val="clear" w:color="auto" w:fill="EDEDED"/>
            <w:vAlign w:val="center"/>
          </w:tcPr>
          <w:p ns2:paraId="570B8CAF">
            <w:pPr>
              <w:spacing w:before="0" w:after="0" w:line="420" w:lineRule="auto"/>
              <w:jc w:val="center"/>
            </w:pPr>
            <w:r>
              <w:rPr>
                <w:rFonts w:ascii="Times New Roman" w:hAnsi="Times New Roman" w:eastAsia="宋体"/>
                <w:b/>
                <w:sz w:val="20"/>
                <w:szCs w:val="20"/>
              </w:rPr>
              <w:t>地区数</w:t>
            </w:r>
          </w:p>
        </w:tc>
        <w:tc>
          <w:tcPr>
            <w:tcW w:w="5727" w:type="dxa"/>
            <w:shd w:val="clear" w:color="auto" w:fill="EDEDED"/>
            <w:vAlign w:val="center"/>
          </w:tcPr>
          <w:p ns2:paraId="68268F68">
            <w:pPr>
              <w:spacing w:before="0" w:after="0" w:line="420" w:lineRule="auto"/>
              <w:jc w:val="center"/>
            </w:pPr>
            <w:r>
              <w:rPr>
                <w:rFonts w:ascii="Times New Roman" w:hAnsi="Times New Roman" w:eastAsia="宋体"/>
                <w:b/>
                <w:sz w:val="20"/>
                <w:szCs w:val="20"/>
              </w:rPr>
              <w:t>说明</w:t>
            </w:r>
          </w:p>
        </w:tc>
      </w:tr>
      <w:tr ns2:paraId="4A18E39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ns2:paraId="7DBB4B11">
            <w:pPr>
              <w:spacing w:before="0" w:after="0" w:line="420" w:lineRule="auto"/>
              <w:jc w:val="left"/>
            </w:pPr>
            <w:r>
              <w:rPr>
                <w:rFonts w:ascii="Times New Roman" w:hAnsi="Times New Roman" w:eastAsia="宋体"/>
                <w:sz w:val="20"/>
                <w:szCs w:val="20"/>
              </w:rPr>
              <w:t>2016</w:t>
            </w:r>
          </w:p>
        </w:tc>
        <w:tc>
          <w:tcPr>
            <w:tcW w:w="1402" w:type="dxa"/>
            <w:shd w:val="clear" w:color="auto" w:fill="FFFFFF"/>
            <w:vAlign w:val="center"/>
          </w:tcPr>
          <w:p ns2:paraId="5B000648">
            <w:pPr>
              <w:spacing w:before="0" w:after="0" w:line="420" w:lineRule="auto"/>
              <w:jc w:val="left"/>
            </w:pPr>
            <w:r>
              <w:rPr>
                <w:rFonts w:ascii="Times New Roman" w:hAnsi="Times New Roman" w:eastAsia="宋体"/>
                <w:sz w:val="20"/>
                <w:szCs w:val="20"/>
              </w:rPr>
              <w:t>28</w:t>
            </w:r>
          </w:p>
        </w:tc>
        <w:tc>
          <w:tcPr>
            <w:tcW w:w="5727" w:type="dxa"/>
            <w:shd w:val="clear" w:color="auto" w:fill="FFFFFF"/>
            <w:vAlign w:val="center"/>
          </w:tcPr>
          <w:p ns2:paraId="2FF25E74">
            <w:pPr>
              <w:spacing w:before="0" w:after="0" w:line="420" w:lineRule="auto"/>
              <w:jc w:val="left"/>
            </w:pPr>
            <w:r>
              <w:rPr>
                <w:rFonts w:ascii="Times New Roman" w:hAnsi="Times New Roman" w:eastAsia="宋体"/>
                <w:sz w:val="20"/>
                <w:szCs w:val="20"/>
              </w:rPr>
              <w:t>首个处理年份的主体批次</w:t>
            </w:r>
          </w:p>
        </w:tc>
      </w:tr>
      <w:tr ns2:paraId="78D38EB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ns2:paraId="5B307E39">
            <w:pPr>
              <w:spacing w:before="0" w:after="0" w:line="420" w:lineRule="auto"/>
              <w:jc w:val="left"/>
            </w:pPr>
            <w:r>
              <w:rPr>
                <w:rFonts w:ascii="Times New Roman" w:hAnsi="Times New Roman" w:eastAsia="宋体"/>
                <w:sz w:val="20"/>
                <w:szCs w:val="20"/>
              </w:rPr>
              <w:t>2017</w:t>
            </w:r>
          </w:p>
        </w:tc>
        <w:tc>
          <w:tcPr>
            <w:tcW w:w="1402" w:type="dxa"/>
            <w:shd w:val="clear" w:color="auto" w:fill="FFFFFF"/>
            <w:vAlign w:val="center"/>
          </w:tcPr>
          <w:p ns2:paraId="3FC8D987">
            <w:pPr>
              <w:spacing w:before="0" w:after="0" w:line="420" w:lineRule="auto"/>
              <w:jc w:val="left"/>
            </w:pPr>
            <w:r>
              <w:rPr>
                <w:rFonts w:ascii="Times New Roman" w:hAnsi="Times New Roman" w:eastAsia="宋体"/>
                <w:sz w:val="20"/>
                <w:szCs w:val="20"/>
              </w:rPr>
              <w:t>1</w:t>
            </w:r>
          </w:p>
        </w:tc>
        <w:tc>
          <w:tcPr>
            <w:tcW w:w="5727" w:type="dxa"/>
            <w:shd w:val="clear" w:color="auto" w:fill="FFFFFF"/>
            <w:vAlign w:val="center"/>
          </w:tcPr>
          <w:p ns2:paraId="2CFEEEE5">
            <w:pPr>
              <w:spacing w:before="0" w:after="0" w:line="420" w:lineRule="auto"/>
              <w:jc w:val="left"/>
            </w:pPr>
            <w:r>
              <w:rPr>
                <w:rFonts w:ascii="Times New Roman" w:hAnsi="Times New Roman" w:eastAsia="宋体"/>
                <w:sz w:val="20"/>
                <w:szCs w:val="20"/>
              </w:rPr>
              <w:t>后续少量进入处理</w:t>
            </w:r>
          </w:p>
        </w:tc>
      </w:tr>
      <w:tr ns2:paraId="15FBCFD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1870" w:type="dxa"/>
            <w:shd w:val="clear" w:color="auto" w:fill="FFFFFF"/>
            <w:vAlign w:val="center"/>
          </w:tcPr>
          <w:p ns2:paraId="37BA0622">
            <w:pPr>
              <w:spacing w:before="0" w:after="0" w:line="420" w:lineRule="auto"/>
              <w:jc w:val="left"/>
            </w:pPr>
            <w:r>
              <w:rPr>
                <w:rFonts w:ascii="Times New Roman" w:hAnsi="Times New Roman" w:eastAsia="宋体"/>
                <w:sz w:val="20"/>
                <w:szCs w:val="20"/>
              </w:rPr>
              <w:t>Never-treated</w:t>
            </w:r>
          </w:p>
        </w:tc>
        <w:tc>
          <w:tcPr>
            <w:tcW w:w="1402" w:type="dxa"/>
            <w:shd w:val="clear" w:color="auto" w:fill="FFFFFF"/>
            <w:vAlign w:val="center"/>
          </w:tcPr>
          <w:p ns2:paraId="746B9718">
            <w:pPr>
              <w:spacing w:before="0" w:after="0" w:line="420" w:lineRule="auto"/>
              <w:jc w:val="left"/>
            </w:pPr>
            <w:r>
              <w:rPr>
                <w:rFonts w:ascii="Times New Roman" w:hAnsi="Times New Roman" w:eastAsia="宋体"/>
                <w:sz w:val="20"/>
                <w:szCs w:val="20"/>
              </w:rPr>
              <w:t>3</w:t>
            </w:r>
          </w:p>
        </w:tc>
        <w:tc>
          <w:tcPr>
            <w:tcW w:w="5727" w:type="dxa"/>
            <w:shd w:val="clear" w:color="auto" w:fill="FFFFFF"/>
            <w:vAlign w:val="center"/>
          </w:tcPr>
          <w:p ns2:paraId="09FD63FE">
            <w:pPr>
              <w:spacing w:before="0" w:after="0" w:line="420" w:lineRule="auto"/>
              <w:jc w:val="left"/>
            </w:pPr>
            <w:r>
              <w:rPr>
                <w:rFonts w:ascii="Times New Roman" w:hAnsi="Times New Roman" w:eastAsia="宋体"/>
                <w:sz w:val="20"/>
                <w:szCs w:val="20"/>
              </w:rPr>
              <w:t>新疆生产建设兵团、海南、青海</w:t>
            </w:r>
          </w:p>
        </w:tc>
      </w:tr>
    </w:tbl>
    <w:p ns2:paraId="6351D0E7">
      <w:pPr>
        <w:spacing w:before="0" w:after="40" w:line="420" w:lineRule="auto"/>
        <w:jc w:val="center"/>
      </w:pPr>
      <w:r>
        <w:rPr>
          <w:rFonts w:ascii="Times New Roman" w:hAnsi="Times New Roman" w:eastAsia="宋体"/>
          <w:sz w:val="21"/>
          <w:szCs w:val="21"/>
        </w:rPr>
        <w:t>附表D 核心变量扩展描述统计</w:t>
      </w:r>
    </w:p>
    <w:tbl>
      <w:tblPr>
        <w:tblStyle w:val="2"/>
        <w:tblW w:w="0" w:type="auto"/>
        <w:tblInd w:w="0" w:type="dxa"/>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Layout w:type="fixed"/>
        <w:tblCellMar>
          <w:top w:w="0" w:type="dxa"/>
          <w:left w:w="10" w:type="dxa"/>
          <w:bottom w:w="0" w:type="dxa"/>
          <w:right w:w="10" w:type="dxa"/>
        </w:tblCellMar>
      </w:tblPr>
      <w:tblGrid>
        <w:gridCol w:w="2571"/>
        <w:gridCol w:w="1607"/>
        <w:gridCol w:w="1607"/>
        <w:gridCol w:w="1607"/>
        <w:gridCol w:w="1607"/>
      </w:tblGrid>
      <w:tr ns2:paraId="2786EA5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EDEDED"/>
            <w:vAlign w:val="center"/>
          </w:tcPr>
          <w:p ns2:paraId="491685D6">
            <w:pPr>
              <w:spacing w:before="0" w:after="0" w:line="420" w:lineRule="auto"/>
              <w:jc w:val="center"/>
            </w:pPr>
            <w:r>
              <w:rPr>
                <w:rFonts w:ascii="Times New Roman" w:hAnsi="Times New Roman" w:eastAsia="宋体"/>
                <w:b/>
                <w:sz w:val="20"/>
                <w:szCs w:val="20"/>
              </w:rPr>
              <w:t>变量</w:t>
            </w:r>
          </w:p>
        </w:tc>
        <w:tc>
          <w:tcPr>
            <w:tcW w:w="1607" w:type="dxa"/>
            <w:shd w:val="clear" w:color="auto" w:fill="EDEDED"/>
            <w:vAlign w:val="center"/>
          </w:tcPr>
          <w:p ns2:paraId="14612127">
            <w:pPr>
              <w:spacing w:before="0" w:after="0" w:line="420" w:lineRule="auto"/>
              <w:jc w:val="center"/>
            </w:pPr>
            <w:r>
              <w:rPr>
                <w:rFonts w:ascii="Times New Roman" w:hAnsi="Times New Roman" w:eastAsia="宋体"/>
                <w:b/>
                <w:sz w:val="20"/>
                <w:szCs w:val="20"/>
              </w:rPr>
              <w:t>均值</w:t>
            </w:r>
          </w:p>
        </w:tc>
        <w:tc>
          <w:tcPr>
            <w:tcW w:w="1607" w:type="dxa"/>
            <w:shd w:val="clear" w:color="auto" w:fill="EDEDED"/>
            <w:vAlign w:val="center"/>
          </w:tcPr>
          <w:p ns2:paraId="588081F1">
            <w:pPr>
              <w:spacing w:before="0" w:after="0" w:line="420" w:lineRule="auto"/>
              <w:jc w:val="center"/>
            </w:pPr>
            <w:r>
              <w:rPr>
                <w:rFonts w:ascii="Times New Roman" w:hAnsi="Times New Roman" w:eastAsia="宋体"/>
                <w:b/>
                <w:sz w:val="20"/>
                <w:szCs w:val="20"/>
              </w:rPr>
              <w:t>标准差</w:t>
            </w:r>
          </w:p>
        </w:tc>
        <w:tc>
          <w:tcPr>
            <w:tcW w:w="1607" w:type="dxa"/>
            <w:shd w:val="clear" w:color="auto" w:fill="EDEDED"/>
            <w:vAlign w:val="center"/>
          </w:tcPr>
          <w:p ns2:paraId="3240F08E">
            <w:pPr>
              <w:spacing w:before="0" w:after="0" w:line="420" w:lineRule="auto"/>
              <w:jc w:val="center"/>
            </w:pPr>
            <w:r>
              <w:rPr>
                <w:rFonts w:ascii="Times New Roman" w:hAnsi="Times New Roman" w:eastAsia="宋体"/>
                <w:b/>
                <w:sz w:val="20"/>
                <w:szCs w:val="20"/>
              </w:rPr>
              <w:t>最小值</w:t>
            </w:r>
          </w:p>
        </w:tc>
        <w:tc>
          <w:tcPr>
            <w:tcW w:w="1607" w:type="dxa"/>
            <w:shd w:val="clear" w:color="auto" w:fill="EDEDED"/>
            <w:vAlign w:val="center"/>
          </w:tcPr>
          <w:p ns2:paraId="1109609D">
            <w:pPr>
              <w:spacing w:before="0" w:after="0" w:line="420" w:lineRule="auto"/>
              <w:jc w:val="center"/>
            </w:pPr>
            <w:r>
              <w:rPr>
                <w:rFonts w:ascii="Times New Roman" w:hAnsi="Times New Roman" w:eastAsia="宋体"/>
                <w:b/>
                <w:sz w:val="20"/>
                <w:szCs w:val="20"/>
              </w:rPr>
              <w:t>最大值</w:t>
            </w:r>
          </w:p>
        </w:tc>
      </w:tr>
      <w:tr ns2:paraId="5C74E8B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3069FE4D">
            <w:pPr>
              <w:spacing w:before="0" w:after="0" w:line="420" w:lineRule="auto"/>
              <w:jc w:val="left"/>
            </w:pPr>
            <w:r>
              <w:rPr>
                <w:rFonts w:ascii="Times New Roman" w:hAnsi="Times New Roman" w:eastAsia="宋体"/>
                <w:sz w:val="20"/>
                <w:szCs w:val="20"/>
              </w:rPr>
              <w:t>ppp_governance_capacity_index</w:t>
            </w:r>
          </w:p>
        </w:tc>
        <w:tc>
          <w:tcPr>
            <w:tcW w:w="1607" w:type="dxa"/>
            <w:shd w:val="clear" w:color="auto" w:fill="FFFFFF"/>
            <w:vAlign w:val="center"/>
          </w:tcPr>
          <w:p ns2:paraId="6AB3496C">
            <w:pPr>
              <w:spacing w:before="0" w:after="0" w:line="420" w:lineRule="auto"/>
              <w:jc w:val="left"/>
            </w:pPr>
            <w:r>
              <w:rPr>
                <w:rFonts w:ascii="Times New Roman" w:hAnsi="Times New Roman" w:eastAsia="宋体"/>
                <w:sz w:val="20"/>
                <w:szCs w:val="20"/>
              </w:rPr>
              <w:t>0.0604</w:t>
            </w:r>
          </w:p>
        </w:tc>
        <w:tc>
          <w:tcPr>
            <w:tcW w:w="1607" w:type="dxa"/>
            <w:shd w:val="clear" w:color="auto" w:fill="FFFFFF"/>
            <w:vAlign w:val="center"/>
          </w:tcPr>
          <w:p ns2:paraId="05EB036A">
            <w:pPr>
              <w:spacing w:before="0" w:after="0" w:line="420" w:lineRule="auto"/>
              <w:jc w:val="left"/>
            </w:pPr>
            <w:r>
              <w:rPr>
                <w:rFonts w:ascii="Times New Roman" w:hAnsi="Times New Roman" w:eastAsia="宋体"/>
                <w:sz w:val="20"/>
                <w:szCs w:val="20"/>
              </w:rPr>
              <w:t>0.4730</w:t>
            </w:r>
          </w:p>
        </w:tc>
        <w:tc>
          <w:tcPr>
            <w:tcW w:w="1607" w:type="dxa"/>
            <w:shd w:val="clear" w:color="auto" w:fill="FFFFFF"/>
            <w:vAlign w:val="center"/>
          </w:tcPr>
          <w:p ns2:paraId="3DBF0F68">
            <w:pPr>
              <w:spacing w:before="0" w:after="0" w:line="420" w:lineRule="auto"/>
              <w:jc w:val="left"/>
            </w:pPr>
            <w:r>
              <w:rPr>
                <w:rFonts w:ascii="Times New Roman" w:hAnsi="Times New Roman" w:eastAsia="宋体"/>
                <w:sz w:val="20"/>
                <w:szCs w:val="20"/>
              </w:rPr>
              <w:t>-1.3530</w:t>
            </w:r>
          </w:p>
        </w:tc>
        <w:tc>
          <w:tcPr>
            <w:tcW w:w="1607" w:type="dxa"/>
            <w:shd w:val="clear" w:color="auto" w:fill="FFFFFF"/>
            <w:vAlign w:val="center"/>
          </w:tcPr>
          <w:p ns2:paraId="77B0D0AC">
            <w:pPr>
              <w:spacing w:before="0" w:after="0" w:line="420" w:lineRule="auto"/>
              <w:jc w:val="left"/>
            </w:pPr>
            <w:r>
              <w:rPr>
                <w:rFonts w:ascii="Times New Roman" w:hAnsi="Times New Roman" w:eastAsia="宋体"/>
                <w:sz w:val="20"/>
                <w:szCs w:val="20"/>
              </w:rPr>
              <w:t>1.7378</w:t>
            </w:r>
          </w:p>
        </w:tc>
      </w:tr>
      <w:tr ns2:paraId="1D9C7C92">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6ABF49FC">
            <w:pPr>
              <w:spacing w:before="0" w:after="0" w:line="420" w:lineRule="auto"/>
              <w:jc w:val="left"/>
            </w:pPr>
            <w:r>
              <w:rPr>
                <w:rFonts w:ascii="Times New Roman" w:hAnsi="Times New Roman" w:eastAsia="宋体"/>
                <w:sz w:val="20"/>
                <w:szCs w:val="20"/>
              </w:rPr>
              <w:t>ppp_norm_risk_index</w:t>
            </w:r>
          </w:p>
        </w:tc>
        <w:tc>
          <w:tcPr>
            <w:tcW w:w="1607" w:type="dxa"/>
            <w:shd w:val="clear" w:color="auto" w:fill="FFFFFF"/>
            <w:vAlign w:val="center"/>
          </w:tcPr>
          <w:p ns2:paraId="228D4F1E">
            <w:pPr>
              <w:spacing w:before="0" w:after="0" w:line="420" w:lineRule="auto"/>
              <w:jc w:val="left"/>
            </w:pPr>
            <w:r>
              <w:rPr>
                <w:rFonts w:ascii="Times New Roman" w:hAnsi="Times New Roman" w:eastAsia="宋体"/>
                <w:sz w:val="20"/>
                <w:szCs w:val="20"/>
              </w:rPr>
              <w:t>0.0762</w:t>
            </w:r>
          </w:p>
        </w:tc>
        <w:tc>
          <w:tcPr>
            <w:tcW w:w="1607" w:type="dxa"/>
            <w:shd w:val="clear" w:color="auto" w:fill="FFFFFF"/>
            <w:vAlign w:val="center"/>
          </w:tcPr>
          <w:p ns2:paraId="3CF46948">
            <w:pPr>
              <w:spacing w:before="0" w:after="0" w:line="420" w:lineRule="auto"/>
              <w:jc w:val="left"/>
            </w:pPr>
            <w:r>
              <w:rPr>
                <w:rFonts w:ascii="Times New Roman" w:hAnsi="Times New Roman" w:eastAsia="宋体"/>
                <w:sz w:val="20"/>
                <w:szCs w:val="20"/>
              </w:rPr>
              <w:t>0.5366</w:t>
            </w:r>
          </w:p>
        </w:tc>
        <w:tc>
          <w:tcPr>
            <w:tcW w:w="1607" w:type="dxa"/>
            <w:shd w:val="clear" w:color="auto" w:fill="FFFFFF"/>
            <w:vAlign w:val="center"/>
          </w:tcPr>
          <w:p ns2:paraId="2C9744D3">
            <w:pPr>
              <w:spacing w:before="0" w:after="0" w:line="420" w:lineRule="auto"/>
              <w:jc w:val="left"/>
            </w:pPr>
            <w:r>
              <w:rPr>
                <w:rFonts w:ascii="Times New Roman" w:hAnsi="Times New Roman" w:eastAsia="宋体"/>
                <w:sz w:val="20"/>
                <w:szCs w:val="20"/>
              </w:rPr>
              <w:t>-1.4887</w:t>
            </w:r>
          </w:p>
        </w:tc>
        <w:tc>
          <w:tcPr>
            <w:tcW w:w="1607" w:type="dxa"/>
            <w:shd w:val="clear" w:color="auto" w:fill="FFFFFF"/>
            <w:vAlign w:val="center"/>
          </w:tcPr>
          <w:p ns2:paraId="55077D7C">
            <w:pPr>
              <w:spacing w:before="0" w:after="0" w:line="420" w:lineRule="auto"/>
              <w:jc w:val="left"/>
            </w:pPr>
            <w:r>
              <w:rPr>
                <w:rFonts w:ascii="Times New Roman" w:hAnsi="Times New Roman" w:eastAsia="宋体"/>
                <w:sz w:val="20"/>
                <w:szCs w:val="20"/>
              </w:rPr>
              <w:t>2.1507</w:t>
            </w:r>
          </w:p>
        </w:tc>
      </w:tr>
      <w:tr ns2:paraId="2D1D6156">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2279574E">
            <w:pPr>
              <w:spacing w:before="0" w:after="0" w:line="420" w:lineRule="auto"/>
              <w:jc w:val="left"/>
            </w:pPr>
            <w:r>
              <w:rPr>
                <w:rFonts w:ascii="Times New Roman" w:hAnsi="Times New Roman" w:eastAsia="宋体"/>
                <w:sz w:val="20"/>
                <w:szCs w:val="20"/>
              </w:rPr>
              <w:t>dfi</w:t>
            </w:r>
          </w:p>
        </w:tc>
        <w:tc>
          <w:tcPr>
            <w:tcW w:w="1607" w:type="dxa"/>
            <w:shd w:val="clear" w:color="auto" w:fill="FFFFFF"/>
            <w:vAlign w:val="center"/>
          </w:tcPr>
          <w:p ns2:paraId="382F096A">
            <w:pPr>
              <w:spacing w:before="0" w:after="0" w:line="420" w:lineRule="auto"/>
              <w:jc w:val="left"/>
            </w:pPr>
            <w:r>
              <w:rPr>
                <w:rFonts w:ascii="Times New Roman" w:hAnsi="Times New Roman" w:eastAsia="宋体"/>
                <w:sz w:val="20"/>
                <w:szCs w:val="20"/>
              </w:rPr>
              <w:t>263.8445</w:t>
            </w:r>
          </w:p>
        </w:tc>
        <w:tc>
          <w:tcPr>
            <w:tcW w:w="1607" w:type="dxa"/>
            <w:shd w:val="clear" w:color="auto" w:fill="FFFFFF"/>
            <w:vAlign w:val="center"/>
          </w:tcPr>
          <w:p ns2:paraId="158BE918">
            <w:pPr>
              <w:spacing w:before="0" w:after="0" w:line="420" w:lineRule="auto"/>
              <w:jc w:val="left"/>
            </w:pPr>
            <w:r>
              <w:rPr>
                <w:rFonts w:ascii="Times New Roman" w:hAnsi="Times New Roman" w:eastAsia="宋体"/>
                <w:sz w:val="20"/>
                <w:szCs w:val="20"/>
              </w:rPr>
              <w:t>97.5400</w:t>
            </w:r>
          </w:p>
        </w:tc>
        <w:tc>
          <w:tcPr>
            <w:tcW w:w="1607" w:type="dxa"/>
            <w:shd w:val="clear" w:color="auto" w:fill="FFFFFF"/>
            <w:vAlign w:val="center"/>
          </w:tcPr>
          <w:p ns2:paraId="1D63F9EF">
            <w:pPr>
              <w:spacing w:before="0" w:after="0" w:line="420" w:lineRule="auto"/>
              <w:jc w:val="left"/>
            </w:pPr>
            <w:r>
              <w:rPr>
                <w:rFonts w:ascii="Times New Roman" w:hAnsi="Times New Roman" w:eastAsia="宋体"/>
                <w:sz w:val="20"/>
                <w:szCs w:val="20"/>
              </w:rPr>
              <w:t>61.4700</w:t>
            </w:r>
          </w:p>
        </w:tc>
        <w:tc>
          <w:tcPr>
            <w:tcW w:w="1607" w:type="dxa"/>
            <w:shd w:val="clear" w:color="auto" w:fill="FFFFFF"/>
            <w:vAlign w:val="center"/>
          </w:tcPr>
          <w:p ns2:paraId="11C718ED">
            <w:pPr>
              <w:spacing w:before="0" w:after="0" w:line="420" w:lineRule="auto"/>
              <w:jc w:val="left"/>
            </w:pPr>
            <w:r>
              <w:rPr>
                <w:rFonts w:ascii="Times New Roman" w:hAnsi="Times New Roman" w:eastAsia="宋体"/>
                <w:sz w:val="20"/>
                <w:szCs w:val="20"/>
              </w:rPr>
              <w:t>458.9700</w:t>
            </w:r>
          </w:p>
        </w:tc>
      </w:tr>
      <w:tr ns2:paraId="5D8BFB27">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3A6236F3">
            <w:pPr>
              <w:spacing w:before="0" w:after="0" w:line="420" w:lineRule="auto"/>
              <w:jc w:val="left"/>
            </w:pPr>
            <w:r>
              <w:rPr>
                <w:rFonts w:ascii="Times New Roman" w:hAnsi="Times New Roman" w:eastAsia="宋体"/>
                <w:sz w:val="20"/>
                <w:szCs w:val="20"/>
              </w:rPr>
              <w:t>digital_econ</w:t>
            </w:r>
          </w:p>
        </w:tc>
        <w:tc>
          <w:tcPr>
            <w:tcW w:w="1607" w:type="dxa"/>
            <w:shd w:val="clear" w:color="auto" w:fill="FFFFFF"/>
            <w:vAlign w:val="center"/>
          </w:tcPr>
          <w:p ns2:paraId="1752DB1A">
            <w:pPr>
              <w:spacing w:before="0" w:after="0" w:line="420" w:lineRule="auto"/>
              <w:jc w:val="left"/>
            </w:pPr>
            <w:r>
              <w:rPr>
                <w:rFonts w:ascii="Times New Roman" w:hAnsi="Times New Roman" w:eastAsia="宋体"/>
                <w:sz w:val="20"/>
                <w:szCs w:val="20"/>
              </w:rPr>
              <w:t>0.1353</w:t>
            </w:r>
          </w:p>
        </w:tc>
        <w:tc>
          <w:tcPr>
            <w:tcW w:w="1607" w:type="dxa"/>
            <w:shd w:val="clear" w:color="auto" w:fill="FFFFFF"/>
            <w:vAlign w:val="center"/>
          </w:tcPr>
          <w:p ns2:paraId="2C035266">
            <w:pPr>
              <w:spacing w:before="0" w:after="0" w:line="420" w:lineRule="auto"/>
              <w:jc w:val="left"/>
            </w:pPr>
            <w:r>
              <w:rPr>
                <w:rFonts w:ascii="Times New Roman" w:hAnsi="Times New Roman" w:eastAsia="宋体"/>
                <w:sz w:val="20"/>
                <w:szCs w:val="20"/>
              </w:rPr>
              <w:t>0.1047</w:t>
            </w:r>
          </w:p>
        </w:tc>
        <w:tc>
          <w:tcPr>
            <w:tcW w:w="1607" w:type="dxa"/>
            <w:shd w:val="clear" w:color="auto" w:fill="FFFFFF"/>
            <w:vAlign w:val="center"/>
          </w:tcPr>
          <w:p ns2:paraId="0CE5ADCD">
            <w:pPr>
              <w:spacing w:before="0" w:after="0" w:line="420" w:lineRule="auto"/>
              <w:jc w:val="left"/>
            </w:pPr>
            <w:r>
              <w:rPr>
                <w:rFonts w:ascii="Times New Roman" w:hAnsi="Times New Roman" w:eastAsia="宋体"/>
                <w:sz w:val="20"/>
                <w:szCs w:val="20"/>
              </w:rPr>
              <w:t>0.0174</w:t>
            </w:r>
          </w:p>
        </w:tc>
        <w:tc>
          <w:tcPr>
            <w:tcW w:w="1607" w:type="dxa"/>
            <w:shd w:val="clear" w:color="auto" w:fill="FFFFFF"/>
            <w:vAlign w:val="center"/>
          </w:tcPr>
          <w:p ns2:paraId="3C70F528">
            <w:pPr>
              <w:spacing w:before="0" w:after="0" w:line="420" w:lineRule="auto"/>
              <w:jc w:val="left"/>
            </w:pPr>
            <w:r>
              <w:rPr>
                <w:rFonts w:ascii="Times New Roman" w:hAnsi="Times New Roman" w:eastAsia="宋体"/>
                <w:sz w:val="20"/>
                <w:szCs w:val="20"/>
              </w:rPr>
              <w:t>0.5903</w:t>
            </w:r>
          </w:p>
        </w:tc>
      </w:tr>
      <w:tr ns2:paraId="46421421">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584D67C5">
            <w:pPr>
              <w:spacing w:before="0" w:after="0" w:line="420" w:lineRule="auto"/>
              <w:jc w:val="left"/>
            </w:pPr>
            <w:r>
              <w:rPr>
                <w:rFonts w:ascii="Times New Roman" w:hAnsi="Times New Roman" w:eastAsia="宋体"/>
                <w:sz w:val="20"/>
                <w:szCs w:val="20"/>
              </w:rPr>
              <w:t>ln_ppp_inv</w:t>
            </w:r>
          </w:p>
        </w:tc>
        <w:tc>
          <w:tcPr>
            <w:tcW w:w="1607" w:type="dxa"/>
            <w:shd w:val="clear" w:color="auto" w:fill="FFFFFF"/>
            <w:vAlign w:val="center"/>
          </w:tcPr>
          <w:p ns2:paraId="178E1C97">
            <w:pPr>
              <w:spacing w:before="0" w:after="0" w:line="420" w:lineRule="auto"/>
              <w:jc w:val="left"/>
            </w:pPr>
            <w:r>
              <w:rPr>
                <w:rFonts w:ascii="Times New Roman" w:hAnsi="Times New Roman" w:eastAsia="宋体"/>
                <w:sz w:val="20"/>
                <w:szCs w:val="20"/>
              </w:rPr>
              <w:t>9.9757</w:t>
            </w:r>
          </w:p>
        </w:tc>
        <w:tc>
          <w:tcPr>
            <w:tcW w:w="1607" w:type="dxa"/>
            <w:shd w:val="clear" w:color="auto" w:fill="FFFFFF"/>
            <w:vAlign w:val="center"/>
          </w:tcPr>
          <w:p ns2:paraId="39E41E62">
            <w:pPr>
              <w:spacing w:before="0" w:after="0" w:line="420" w:lineRule="auto"/>
              <w:jc w:val="left"/>
            </w:pPr>
            <w:r>
              <w:rPr>
                <w:rFonts w:ascii="Times New Roman" w:hAnsi="Times New Roman" w:eastAsia="宋体"/>
                <w:sz w:val="20"/>
                <w:szCs w:val="20"/>
              </w:rPr>
              <w:t>1.8626</w:t>
            </w:r>
          </w:p>
        </w:tc>
        <w:tc>
          <w:tcPr>
            <w:tcW w:w="1607" w:type="dxa"/>
            <w:shd w:val="clear" w:color="auto" w:fill="FFFFFF"/>
            <w:vAlign w:val="center"/>
          </w:tcPr>
          <w:p ns2:paraId="576958D6">
            <w:pPr>
              <w:spacing w:before="0" w:after="0" w:line="420" w:lineRule="auto"/>
              <w:jc w:val="left"/>
            </w:pPr>
            <w:r>
              <w:rPr>
                <w:rFonts w:ascii="Times New Roman" w:hAnsi="Times New Roman" w:eastAsia="宋体"/>
                <w:sz w:val="20"/>
                <w:szCs w:val="20"/>
              </w:rPr>
              <w:t>2.9444</w:t>
            </w:r>
          </w:p>
        </w:tc>
        <w:tc>
          <w:tcPr>
            <w:tcW w:w="1607" w:type="dxa"/>
            <w:shd w:val="clear" w:color="auto" w:fill="FFFFFF"/>
            <w:vAlign w:val="center"/>
          </w:tcPr>
          <w:p ns2:paraId="1401F09F">
            <w:pPr>
              <w:spacing w:before="0" w:after="0" w:line="420" w:lineRule="auto"/>
              <w:jc w:val="left"/>
            </w:pPr>
            <w:r>
              <w:rPr>
                <w:rFonts w:ascii="Times New Roman" w:hAnsi="Times New Roman" w:eastAsia="宋体"/>
                <w:sz w:val="20"/>
                <w:szCs w:val="20"/>
              </w:rPr>
              <w:t>12.8900</w:t>
            </w:r>
          </w:p>
        </w:tc>
      </w:tr>
      <w:tr ns2:paraId="3BEBC90D">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0498387B">
            <w:pPr>
              <w:spacing w:before="0" w:after="0" w:line="420" w:lineRule="auto"/>
              <w:jc w:val="left"/>
            </w:pPr>
            <w:r>
              <w:rPr>
                <w:rFonts w:ascii="Times New Roman" w:hAnsi="Times New Roman" w:eastAsia="宋体"/>
                <w:sz w:val="20"/>
                <w:szCs w:val="20"/>
              </w:rPr>
              <w:t>doc_count</w:t>
            </w:r>
          </w:p>
        </w:tc>
        <w:tc>
          <w:tcPr>
            <w:tcW w:w="1607" w:type="dxa"/>
            <w:shd w:val="clear" w:color="auto" w:fill="FFFFFF"/>
            <w:vAlign w:val="center"/>
          </w:tcPr>
          <w:p ns2:paraId="1787FF4C">
            <w:pPr>
              <w:spacing w:before="0" w:after="0" w:line="420" w:lineRule="auto"/>
              <w:jc w:val="left"/>
            </w:pPr>
            <w:r>
              <w:rPr>
                <w:rFonts w:ascii="Times New Roman" w:hAnsi="Times New Roman" w:eastAsia="宋体"/>
                <w:sz w:val="20"/>
                <w:szCs w:val="20"/>
              </w:rPr>
              <w:t>4.9023</w:t>
            </w:r>
          </w:p>
        </w:tc>
        <w:tc>
          <w:tcPr>
            <w:tcW w:w="1607" w:type="dxa"/>
            <w:shd w:val="clear" w:color="auto" w:fill="FFFFFF"/>
            <w:vAlign w:val="center"/>
          </w:tcPr>
          <w:p ns2:paraId="23700973">
            <w:pPr>
              <w:spacing w:before="0" w:after="0" w:line="420" w:lineRule="auto"/>
              <w:jc w:val="left"/>
            </w:pPr>
            <w:r>
              <w:rPr>
                <w:rFonts w:ascii="Times New Roman" w:hAnsi="Times New Roman" w:eastAsia="宋体"/>
                <w:sz w:val="20"/>
                <w:szCs w:val="20"/>
              </w:rPr>
              <w:t>6.7822</w:t>
            </w:r>
          </w:p>
        </w:tc>
        <w:tc>
          <w:tcPr>
            <w:tcW w:w="1607" w:type="dxa"/>
            <w:shd w:val="clear" w:color="auto" w:fill="FFFFFF"/>
            <w:vAlign w:val="center"/>
          </w:tcPr>
          <w:p ns2:paraId="113AE7C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ns2:paraId="7DC945DC">
            <w:pPr>
              <w:spacing w:before="0" w:after="0" w:line="420" w:lineRule="auto"/>
              <w:jc w:val="left"/>
            </w:pPr>
            <w:r>
              <w:rPr>
                <w:rFonts w:ascii="Times New Roman" w:hAnsi="Times New Roman" w:eastAsia="宋体"/>
                <w:sz w:val="20"/>
                <w:szCs w:val="20"/>
              </w:rPr>
              <w:t>42.0000</w:t>
            </w:r>
          </w:p>
        </w:tc>
      </w:tr>
      <w:tr ns2:paraId="329F99BE">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4BAB1704">
            <w:pPr>
              <w:spacing w:before="0" w:after="0" w:line="420" w:lineRule="auto"/>
              <w:jc w:val="left"/>
            </w:pPr>
            <w:r>
              <w:rPr>
                <w:rFonts w:ascii="Times New Roman" w:hAnsi="Times New Roman" w:eastAsia="宋体"/>
                <w:sz w:val="20"/>
                <w:szCs w:val="20"/>
              </w:rPr>
              <w:t>total_chars</w:t>
            </w:r>
          </w:p>
        </w:tc>
        <w:tc>
          <w:tcPr>
            <w:tcW w:w="1607" w:type="dxa"/>
            <w:shd w:val="clear" w:color="auto" w:fill="FFFFFF"/>
            <w:vAlign w:val="center"/>
          </w:tcPr>
          <w:p ns2:paraId="3885B312">
            <w:pPr>
              <w:spacing w:before="0" w:after="0" w:line="420" w:lineRule="auto"/>
              <w:jc w:val="left"/>
            </w:pPr>
            <w:r>
              <w:rPr>
                <w:rFonts w:ascii="Times New Roman" w:hAnsi="Times New Roman" w:eastAsia="宋体"/>
                <w:sz w:val="20"/>
                <w:szCs w:val="20"/>
              </w:rPr>
              <w:t>17415.4211</w:t>
            </w:r>
          </w:p>
        </w:tc>
        <w:tc>
          <w:tcPr>
            <w:tcW w:w="1607" w:type="dxa"/>
            <w:shd w:val="clear" w:color="auto" w:fill="FFFFFF"/>
            <w:vAlign w:val="center"/>
          </w:tcPr>
          <w:p ns2:paraId="1AE9B750">
            <w:pPr>
              <w:spacing w:before="0" w:after="0" w:line="420" w:lineRule="auto"/>
              <w:jc w:val="left"/>
            </w:pPr>
            <w:r>
              <w:rPr>
                <w:rFonts w:ascii="Times New Roman" w:hAnsi="Times New Roman" w:eastAsia="宋体"/>
                <w:sz w:val="20"/>
                <w:szCs w:val="20"/>
              </w:rPr>
              <w:t>24242.5218</w:t>
            </w:r>
          </w:p>
        </w:tc>
        <w:tc>
          <w:tcPr>
            <w:tcW w:w="1607" w:type="dxa"/>
            <w:shd w:val="clear" w:color="auto" w:fill="FFFFFF"/>
            <w:vAlign w:val="center"/>
          </w:tcPr>
          <w:p ns2:paraId="3D72488F">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ns2:paraId="0A5CD920">
            <w:pPr>
              <w:spacing w:before="0" w:after="0" w:line="420" w:lineRule="auto"/>
              <w:jc w:val="left"/>
            </w:pPr>
            <w:r>
              <w:rPr>
                <w:rFonts w:ascii="Times New Roman" w:hAnsi="Times New Roman" w:eastAsia="宋体"/>
                <w:sz w:val="20"/>
                <w:szCs w:val="20"/>
              </w:rPr>
              <w:t>166244.0000</w:t>
            </w:r>
          </w:p>
        </w:tc>
      </w:tr>
      <w:tr ns2:paraId="0E0A521F">
        <w:tblPrEx>
          <w:tblBorders>
            <w:top w:val="single" w:color="808080" w:sz="8" w:space="0"/>
            <w:left w:val="single" w:color="808080" w:sz="8" w:space="0"/>
            <w:bottom w:val="single" w:color="808080" w:sz="8" w:space="0"/>
            <w:right w:val="single" w:color="808080" w:sz="8" w:space="0"/>
            <w:insideH w:val="single" w:color="808080" w:sz="8" w:space="0"/>
            <w:insideV w:val="single" w:color="808080" w:sz="8" w:space="0"/>
          </w:tblBorders>
          <w:tblCellMar>
            <w:top w:w="0" w:type="dxa"/>
            <w:left w:w="10" w:type="dxa"/>
            <w:bottom w:w="0" w:type="dxa"/>
            <w:right w:w="10" w:type="dxa"/>
          </w:tblCellMar>
        </w:tblPrEx>
        <w:tc>
          <w:tcPr>
            <w:tcW w:w="2571" w:type="dxa"/>
            <w:shd w:val="clear" w:color="auto" w:fill="FFFFFF"/>
            <w:vAlign w:val="center"/>
          </w:tcPr>
          <w:p ns2:paraId="7668C5EF">
            <w:pPr>
              <w:spacing w:before="0" w:after="0" w:line="420" w:lineRule="auto"/>
              <w:jc w:val="left"/>
            </w:pPr>
            <w:r>
              <w:rPr>
                <w:rFonts w:ascii="Times New Roman" w:hAnsi="Times New Roman" w:eastAsia="宋体"/>
                <w:sz w:val="20"/>
                <w:szCs w:val="20"/>
              </w:rPr>
              <w:t>total_sentences</w:t>
            </w:r>
          </w:p>
        </w:tc>
        <w:tc>
          <w:tcPr>
            <w:tcW w:w="1607" w:type="dxa"/>
            <w:shd w:val="clear" w:color="auto" w:fill="FFFFFF"/>
            <w:vAlign w:val="center"/>
          </w:tcPr>
          <w:p ns2:paraId="0AB1B47E">
            <w:pPr>
              <w:spacing w:before="0" w:after="0" w:line="420" w:lineRule="auto"/>
              <w:jc w:val="left"/>
            </w:pPr>
            <w:r>
              <w:rPr>
                <w:rFonts w:ascii="Times New Roman" w:hAnsi="Times New Roman" w:eastAsia="宋体"/>
                <w:sz w:val="20"/>
                <w:szCs w:val="20"/>
              </w:rPr>
              <w:t>302.2895</w:t>
            </w:r>
          </w:p>
        </w:tc>
        <w:tc>
          <w:tcPr>
            <w:tcW w:w="1607" w:type="dxa"/>
            <w:shd w:val="clear" w:color="auto" w:fill="FFFFFF"/>
            <w:vAlign w:val="center"/>
          </w:tcPr>
          <w:p ns2:paraId="3C0062B4">
            <w:pPr>
              <w:spacing w:before="0" w:after="0" w:line="420" w:lineRule="auto"/>
              <w:jc w:val="left"/>
            </w:pPr>
            <w:r>
              <w:rPr>
                <w:rFonts w:ascii="Times New Roman" w:hAnsi="Times New Roman" w:eastAsia="宋体"/>
                <w:sz w:val="20"/>
                <w:szCs w:val="20"/>
              </w:rPr>
              <w:t>434.5629</w:t>
            </w:r>
          </w:p>
        </w:tc>
        <w:tc>
          <w:tcPr>
            <w:tcW w:w="1607" w:type="dxa"/>
            <w:shd w:val="clear" w:color="auto" w:fill="FFFFFF"/>
            <w:vAlign w:val="center"/>
          </w:tcPr>
          <w:p ns2:paraId="1D029639">
            <w:pPr>
              <w:spacing w:before="0" w:after="0" w:line="420" w:lineRule="auto"/>
              <w:jc w:val="left"/>
            </w:pPr>
            <w:r>
              <w:rPr>
                <w:rFonts w:ascii="Times New Roman" w:hAnsi="Times New Roman" w:eastAsia="宋体"/>
                <w:sz w:val="20"/>
                <w:szCs w:val="20"/>
              </w:rPr>
              <w:t>0.0000</w:t>
            </w:r>
          </w:p>
        </w:tc>
        <w:tc>
          <w:tcPr>
            <w:tcW w:w="1607" w:type="dxa"/>
            <w:shd w:val="clear" w:color="auto" w:fill="FFFFFF"/>
            <w:vAlign w:val="center"/>
          </w:tcPr>
          <w:p ns2:paraId="6516BAF5">
            <w:pPr>
              <w:spacing w:before="0" w:after="0" w:line="420" w:lineRule="auto"/>
              <w:jc w:val="left"/>
            </w:pPr>
            <w:r>
              <w:rPr>
                <w:rFonts w:ascii="Times New Roman" w:hAnsi="Times New Roman" w:eastAsia="宋体"/>
                <w:sz w:val="20"/>
                <w:szCs w:val="20"/>
              </w:rPr>
              <w:t>3147.0000</w:t>
            </w:r>
          </w:p>
        </w:tc>
      </w:tr>
    </w:tbl>
    <w:p ns2:paraId="1F977BDF">
      <w:pPr>
        <w:spacing w:before="160" w:after="60" w:line="420" w:lineRule="auto"/>
        <w:jc w:val="left"/>
      </w:pPr>
      <w:r>
        <w:rPr>
          <w:rFonts w:ascii="Times New Roman" w:hAnsi="Times New Roman" w:eastAsia="宋体"/>
          <w:b/>
          <w:sz w:val="28"/>
          <w:szCs w:val="28"/>
        </w:rPr>
        <w:t>附录B 项目级扩展分析补充</w:t>
      </w:r>
    </w:p>
    <w:p ns2:paraId="045B131B">
      <w:pPr>
        <w:spacing w:before="100" w:after="40" w:line="420" w:lineRule="auto"/>
        <w:jc w:val="left"/>
      </w:pPr>
      <w:r>
        <w:rPr>
          <w:rFonts w:ascii="Times New Roman" w:hAnsi="Times New Roman" w:eastAsia="宋体"/>
          <w:b/>
          <w:sz w:val="25"/>
          <w:szCs w:val="25"/>
        </w:rPr>
        <w:t>B3 成本收益曲线</w:t>
      </w:r>
    </w:p>
    <w:p ns2:paraId="18B045C4">
      <w:pPr>
        <w:spacing w:before="0" w:after="0" w:line="420" w:lineRule="auto"/>
        <w:ind w:firstLine="420"/>
        <w:jc w:val="both"/>
      </w:pPr>
      <w:r>
        <w:rPr>
          <w:rFonts w:ascii="Times New Roman" w:hAnsi="Times New Roman" w:eastAsia="宋体"/>
          <w:sz w:val="24"/>
          <w:szCs w:val="24"/>
        </w:rPr>
        <w: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w:t>
      </w:r>
    </w:p>
    <w:p ns2:paraId="2315964B">
      <w:pPr>
        <w:spacing w:before="60" w:after="60" w:line="360" w:lineRule="auto"/>
        <w:jc w:val="center"/>
      </w:pPr>
      <w:r>
        <w:drawing>
          <ns3:inline distT="0" distB="0" distL="0" distR="0">
            <ns3:extent cx="5577840" cy="2445385"/>
            <ns3:effectExtent l="0" t="0" r="0" b="0"/>
            <ns3:docPr id="13" name="image13.png"/>
            <ns3:cNvGraphicFramePr>
              <ns4:graphicFrameLocks noChangeAspect="1"/>
            </ns3:cNvGraphicFramePr>
            <ns4:graphic>
              <ns4:graphicData uri="http://schemas.openxmlformats.org/drawingml/2006/picture">
                <ns5:pic>
                  <ns5:nvPicPr>
                    <ns5:cNvPr id="13" name="image13.png"/>
                    <ns5:cNvPicPr>
                      <ns4:picLocks noChangeAspect="1"/>
                    </ns5:cNvPicPr>
                  </ns5:nvPicPr>
                  <ns5:blipFill>
                    <ns4:blip ns6:embed="rId15"/>
                    <ns4:stretch>
                      <ns4:fillRect/>
                    </ns4:stretch>
                  </ns5:blipFill>
                  <ns5:spPr>
                    <ns4:xfrm>
                      <ns4:off x="0" y="0"/>
                      <ns4:ext cx="5577840" cy="2445904"/>
                    </ns4:xfrm>
                    <ns4:prstGeom prst="rect">
                      <ns4:avLst/>
                    </ns4:prstGeom>
                  </ns5:spPr>
                </ns5:pic>
              </ns4:graphicData>
            </ns4:graphic>
          </ns3:inline>
        </w:drawing>
      </w:r>
    </w:p>
    <w:p ns2:paraId="66741EB3">
      <w:pPr>
        <w:spacing w:before="0" w:after="60" w:line="420" w:lineRule="auto"/>
        <w:jc w:val="center"/>
      </w:pPr>
      <w:r>
        <w:rPr>
          <w:rFonts w:ascii="Times New Roman" w:hAnsi="Times New Roman" w:eastAsia="宋体"/>
          <w:sz w:val="21"/>
          <w:szCs w:val="21"/>
        </w:rPr>
        <w:t>图B3 不同阈值下的成本收益权衡</w:t>
      </w:r>
    </w:p>
    <w:p ns2:paraId="70D7360F">
      <w:pPr>
        <w:spacing w:before="160" w:after="60" w:line="420" w:lineRule="auto"/>
        <w:jc w:val="left"/>
      </w:pPr>
    </w:p>
    <w:p ns2:paraId="24D60885">
      <w:pPr>
        <w:spacing w:before="0" w:after="0" w:line="420" w:lineRule="auto"/>
        <w:ind w:firstLine="420"/>
        <w:jc w:val="both"/>
      </w:pPr>
    </w:p>
    <w:p ns2:paraId="694775F2">
      <w:pPr>
        <w:spacing w:before="0" w:after="0" w:line="420" w:lineRule="auto"/>
        <w:ind w:firstLine="420"/>
        <w:jc w:val="both"/>
      </w:pPr>
    </w:p>
    <w:p ns2:paraId="75AAD143">
      <w:pPr>
        <w:spacing w:before="0" w:after="0" w:line="420" w:lineRule="auto"/>
        <w:ind w:firstLine="420"/>
        <w:jc w:val="both"/>
      </w:pP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compat>
    <w:useFELayout/>
    <w:splitPgBreakAndParaMark/>
    <w:compatSetting w:name="compatibilityMode" w:uri="http://schemas.microsoft.com/office/word" w:val="12"/>
  </w:compat>
  <w:rsids>
    <w:rsidRoot w:val="00000000"/>
    <w:rsid w:val="00C91C98"/>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19198</Words>
  <Characters>23604</Characters>
  <TotalTime>8</TotalTime>
  <ScaleCrop>false</ScaleCrop>
  <LinksUpToDate>false</LinksUpToDate>
  <CharactersWithSpaces>23874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2026-04-15T15:21:21Z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