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6B157">
      <w:pPr>
        <w:spacing w:before="0" w:after="120" w:line="240" w:lineRule="auto"/>
        <w:jc w:val="center"/>
      </w:pPr>
      <w:r>
        <w:rPr>
          <w:rFonts w:ascii="Noto Serif CJK SC" w:hAnsi="Noto Serif CJK SC" w:eastAsia="Noto Serif CJK SC"/>
          <w:b/>
          <w:sz w:val="30"/>
        </w:rPr>
        <w:t>PPP论文正文主表汇总（正式插入版，竖向适配修正版）</w:t>
      </w:r>
    </w:p>
    <w:p w14:paraId="76D904EA">
      <w:pPr>
        <w:spacing w:before="0" w:after="280" w:line="240" w:lineRule="auto"/>
        <w:jc w:val="center"/>
      </w:pPr>
      <w:r>
        <w:rPr>
          <w:rFonts w:ascii="Noto Serif CJK SC" w:hAnsi="Noto Serif CJK SC" w:eastAsia="Noto Serif CJK SC"/>
          <w:b w:val="0"/>
          <w:sz w:val="21"/>
        </w:rPr>
        <w:t>依据当前正式口径整理；对超宽表做了竖向页面适配，确保表格不超出页边。</w:t>
      </w:r>
    </w:p>
    <w:p w14:paraId="3D3A9684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6"/>
        </w:rPr>
        <w:t>表1 PPP政策文本样本结构与语料覆盖情况</w:t>
      </w:r>
    </w:p>
    <w:p w14:paraId="3E52E622">
      <w:pPr>
        <w:spacing w:before="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A 年度分布与层级结构</w:t>
      </w:r>
    </w:p>
    <w:tbl>
      <w:tblPr>
        <w:tblStyle w:val="33"/>
        <w:tblW w:w="1075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1239"/>
        <w:gridCol w:w="1508"/>
        <w:gridCol w:w="1508"/>
        <w:gridCol w:w="1715"/>
        <w:gridCol w:w="2309"/>
        <w:gridCol w:w="1509"/>
      </w:tblGrid>
      <w:tr w14:paraId="64CBCB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1593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年份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71D5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文本总数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BC68E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中央文本数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9DFF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地方文本数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F978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总字符数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DBB2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平均篇幅（字符）</w:t>
            </w:r>
          </w:p>
        </w:tc>
        <w:tc>
          <w:tcPr>
            <w:tcW w:w="150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2505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平均句子数</w:t>
            </w:r>
          </w:p>
        </w:tc>
      </w:tr>
      <w:tr w14:paraId="7138F5E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65882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2014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35BD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8B4E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19AB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19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D2C9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88,130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C72A3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3,525.20</w:t>
            </w:r>
          </w:p>
        </w:tc>
        <w:tc>
          <w:tcPr>
            <w:tcW w:w="150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FA6F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64.52</w:t>
            </w:r>
          </w:p>
        </w:tc>
      </w:tr>
      <w:tr w14:paraId="40522B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4837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D411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47AA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20A09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ACA4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1,167,069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2460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3,422.49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864F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62.29</w:t>
            </w:r>
          </w:p>
        </w:tc>
      </w:tr>
      <w:tr w14:paraId="4945B00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9143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B567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D2AA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B474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82D8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1,127,167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F769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3,732.34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9BA8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65.32</w:t>
            </w:r>
          </w:p>
        </w:tc>
      </w:tr>
      <w:tr w14:paraId="70E3B07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F9D8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6A33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4853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90CAC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96DA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1,203,030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A621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3,724.55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16EA7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62.82</w:t>
            </w:r>
          </w:p>
        </w:tc>
      </w:tr>
      <w:tr w14:paraId="5C0FC8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A9EDD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9178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4364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5D5B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E185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543,578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88B1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3,882.70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281B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61.89</w:t>
            </w:r>
          </w:p>
        </w:tc>
      </w:tr>
      <w:tr w14:paraId="288CC0F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DCC7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9CE5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B008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67E26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73AF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256,981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A57E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3,953.55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12FE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68.43</w:t>
            </w:r>
          </w:p>
        </w:tc>
      </w:tr>
      <w:tr w14:paraId="369F6D5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3AF8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4ADF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0D86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8FDC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8E4F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291,202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5678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3,271.93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55D6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47.47</w:t>
            </w:r>
          </w:p>
        </w:tc>
      </w:tr>
      <w:tr w14:paraId="110860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42C9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1ADD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1CF0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32DA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BBDD3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217,655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D515C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3,627.58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53FE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62.75</w:t>
            </w:r>
          </w:p>
        </w:tc>
      </w:tr>
      <w:tr w14:paraId="48157CF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747B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B3C0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8A20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85E3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48E28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190,596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8640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3,403.50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42A5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52.93</w:t>
            </w:r>
          </w:p>
        </w:tc>
      </w:tr>
      <w:tr w14:paraId="4D8E4BC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C916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468F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CBE5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E496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1C21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66,766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F84F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3,514.00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B2D9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53.16</w:t>
            </w:r>
          </w:p>
        </w:tc>
      </w:tr>
      <w:tr w14:paraId="49E048D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1C60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53AB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9376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008E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3F7E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59,873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9551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2,064.59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BA00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12.45</w:t>
            </w:r>
          </w:p>
        </w:tc>
      </w:tr>
      <w:tr w14:paraId="43F19C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FEE58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6427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CEA9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7655F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BA1C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31,815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7E9B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3,181.50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D350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58.50</w:t>
            </w:r>
          </w:p>
        </w:tc>
      </w:tr>
      <w:tr w14:paraId="68063B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39FC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无年份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945A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27CE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A227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316E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28,956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2935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2,227.38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97307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sz w:val="16"/>
              </w:rPr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37.08</w:t>
            </w:r>
          </w:p>
        </w:tc>
      </w:tr>
      <w:tr w14:paraId="162BEB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9CA5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合计</w:t>
            </w:r>
          </w:p>
        </w:tc>
        <w:tc>
          <w:tcPr>
            <w:tcW w:w="12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570E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1,472</w:t>
            </w:r>
          </w:p>
        </w:tc>
        <w:tc>
          <w:tcPr>
            <w:tcW w:w="150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9D2D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105</w:t>
            </w:r>
          </w:p>
        </w:tc>
        <w:tc>
          <w:tcPr>
            <w:tcW w:w="150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4003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1,367</w:t>
            </w:r>
          </w:p>
        </w:tc>
        <w:tc>
          <w:tcPr>
            <w:tcW w:w="17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E23B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5,272,818</w:t>
            </w:r>
          </w:p>
        </w:tc>
        <w:tc>
          <w:tcPr>
            <w:tcW w:w="230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F5A3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3,582.08</w:t>
            </w:r>
          </w:p>
        </w:tc>
        <w:tc>
          <w:tcPr>
            <w:tcW w:w="150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BCE1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60.72</w:t>
            </w:r>
          </w:p>
        </w:tc>
      </w:tr>
    </w:tbl>
    <w:p w14:paraId="068FB31C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B 分析窗口与正式样本层级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3"/>
        <w:gridCol w:w="3553"/>
        <w:gridCol w:w="3553"/>
      </w:tblGrid>
      <w:tr w14:paraId="2C87D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309D5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样本层级/窗口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049C4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样本量</w:t>
            </w:r>
          </w:p>
        </w:tc>
        <w:tc>
          <w:tcPr>
            <w:tcW w:w="61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30258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说明</w:t>
            </w:r>
          </w:p>
        </w:tc>
      </w:tr>
      <w:tr w14:paraId="3E935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4226E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全量政策文本语料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DE944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1472</w:t>
            </w:r>
          </w:p>
        </w:tc>
        <w:tc>
          <w:tcPr>
            <w:tcW w:w="61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7EE54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2014—2025年全部政策文本，含无年份文本</w:t>
            </w:r>
          </w:p>
        </w:tc>
      </w:tr>
      <w:tr w14:paraId="48797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5E379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中央政策文本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7B90C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105</w:t>
            </w:r>
          </w:p>
        </w:tc>
        <w:tc>
          <w:tcPr>
            <w:tcW w:w="61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A95B6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全量语料中的中央层面政策文本</w:t>
            </w:r>
          </w:p>
        </w:tc>
      </w:tr>
      <w:tr w14:paraId="160F0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E50EE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地方政策文本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3774D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1367</w:t>
            </w:r>
          </w:p>
        </w:tc>
        <w:tc>
          <w:tcPr>
            <w:tcW w:w="61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2B8E3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全量语料中的地方层面政策文本</w:t>
            </w:r>
          </w:p>
        </w:tc>
      </w:tr>
      <w:tr w14:paraId="4CFB2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72417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DID主识别窗口文档样本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C8FAC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1307</w:t>
            </w:r>
          </w:p>
        </w:tc>
        <w:tc>
          <w:tcPr>
            <w:tcW w:w="61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39D59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2014—2022年地方样本文档级文本变量表</w:t>
            </w:r>
          </w:p>
        </w:tc>
      </w:tr>
      <w:tr w14:paraId="1B7D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A38BB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扩展与审计窗口样本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BEC0B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165</w:t>
            </w:r>
          </w:p>
        </w:tc>
        <w:tc>
          <w:tcPr>
            <w:tcW w:w="61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A355F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2023—2025年文本、无年份文本及审计补充样本</w:t>
            </w:r>
          </w:p>
        </w:tc>
      </w:tr>
      <w:tr w14:paraId="3D22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980E9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正式文本省—年口径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7A6EA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288</w:t>
            </w:r>
          </w:p>
        </w:tc>
        <w:tc>
          <w:tcPr>
            <w:tcW w:w="61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58851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文本变量聚合后的省—年单元</w:t>
            </w:r>
          </w:p>
        </w:tc>
      </w:tr>
      <w:tr w14:paraId="15A00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F62B4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V3主面板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2998F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266</w:t>
            </w:r>
          </w:p>
        </w:tc>
        <w:tc>
          <w:tcPr>
            <w:tcW w:w="61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DC19D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与处理变量、结果变量并表后的正式主面板</w:t>
            </w:r>
          </w:p>
        </w:tc>
      </w:tr>
      <w:tr w14:paraId="1497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463BF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5.3正式估计样本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2033A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262</w:t>
            </w:r>
          </w:p>
        </w:tc>
        <w:tc>
          <w:tcPr>
            <w:tcW w:w="61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9040A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控制变量完整后的正式回归样本</w:t>
            </w:r>
          </w:p>
        </w:tc>
      </w:tr>
    </w:tbl>
    <w:p w14:paraId="0842B3D6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C 主题维度覆盖情况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42618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88D0C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主题维度</w:t>
            </w:r>
          </w:p>
        </w:tc>
        <w:tc>
          <w:tcPr>
            <w:tcW w:w="180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A6F47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至少命中一次的文档数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39F01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占全部文本比重（%）</w:t>
            </w:r>
          </w:p>
        </w:tc>
        <w:tc>
          <w:tcPr>
            <w:tcW w:w="43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9E797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说明</w:t>
            </w:r>
          </w:p>
        </w:tc>
      </w:tr>
      <w:tr w14:paraId="526A0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43EF4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A（数字治理接口）</w:t>
            </w:r>
          </w:p>
        </w:tc>
        <w:tc>
          <w:tcPr>
            <w:tcW w:w="180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1A87E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1121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5955B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76.15</w:t>
            </w:r>
          </w:p>
        </w:tc>
        <w:tc>
          <w:tcPr>
            <w:tcW w:w="43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91D48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数字平台、数据共享、信息公开等表达在文本中覆盖较广</w:t>
            </w:r>
          </w:p>
        </w:tc>
      </w:tr>
      <w:tr w14:paraId="489D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1936B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B（前端规范准入）</w:t>
            </w:r>
          </w:p>
        </w:tc>
        <w:tc>
          <w:tcPr>
            <w:tcW w:w="180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0E81D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1234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8E892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83.83</w:t>
            </w:r>
          </w:p>
        </w:tc>
        <w:tc>
          <w:tcPr>
            <w:tcW w:w="43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1A8A1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项目识别、财承/VFM、实施方案等前端治理表达覆盖较高</w:t>
            </w:r>
          </w:p>
        </w:tc>
      </w:tr>
      <w:tr w14:paraId="1556A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B3777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C（采购—执行治理）</w:t>
            </w:r>
          </w:p>
        </w:tc>
        <w:tc>
          <w:tcPr>
            <w:tcW w:w="180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6EB7E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1407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3BF05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95.58</w:t>
            </w:r>
          </w:p>
        </w:tc>
        <w:tc>
          <w:tcPr>
            <w:tcW w:w="43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9B2AA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采购、合同、执行、运营、绩效等内容几乎覆盖全部语料</w:t>
            </w:r>
          </w:p>
        </w:tc>
      </w:tr>
      <w:tr w14:paraId="0A3F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23892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D（风险治理）</w:t>
            </w:r>
          </w:p>
        </w:tc>
        <w:tc>
          <w:tcPr>
            <w:tcW w:w="180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FBC3E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1134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EF671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77.04</w:t>
            </w:r>
          </w:p>
        </w:tc>
        <w:tc>
          <w:tcPr>
            <w:tcW w:w="43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B5504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财政约束、终止退出、监督整改等风险治理表达具有较高覆盖度</w:t>
            </w:r>
          </w:p>
        </w:tc>
      </w:tr>
    </w:tbl>
    <w:p w14:paraId="68AA319A">
      <w:pPr>
        <w:spacing w:before="40" w:after="160" w:line="240" w:lineRule="auto"/>
        <w:jc w:val="left"/>
      </w:pPr>
      <w:r>
        <w:rPr>
          <w:rFonts w:ascii="Noto Serif CJK SC" w:hAnsi="Noto Serif CJK SC" w:eastAsia="Noto Serif CJK SC"/>
          <w:b w:val="0"/>
          <w:sz w:val="16"/>
        </w:rPr>
        <w:t>注：本表用于展示全文文本分析基础样本的年度分布、层级结构与语料规模。表中“总字符数”按当年文本总数与平均篇幅（字符）回推得到，用于刻画各年度政策文本语料的总体规模。Panel A 和 Panel C 对应的是全量政策文本语料（1472份），而第5部分主识别对应的是 V3 主面板（266）及其正式估计样本（262），二者服务于不同分析层级，不能混同。数据来源：作者根据 PPP_doc_level_variables_v2、PPP_doc_level_variables_v3_DID主识别窗口、PPP_doc_level_variables_v3_扩展与审计窗口、PPP_province_year_variables_v3_DID主识别窗口 和 PPP_3.6_model_ready_panel_v3 等文件整理。</w:t>
      </w:r>
    </w:p>
    <w:p w14:paraId="307E8445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6"/>
        </w:rPr>
        <w:t>表2 政策文本分析框架、主题映射与变量落地</w:t>
      </w:r>
    </w:p>
    <w:p w14:paraId="623A87A9">
      <w:pPr>
        <w:spacing w:before="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A 代码本与二级主题框架</w:t>
      </w:r>
    </w:p>
    <w:tbl>
      <w:tblPr>
        <w:tblStyle w:val="33"/>
        <w:tblW w:w="1072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639"/>
        <w:gridCol w:w="1903"/>
        <w:gridCol w:w="3216"/>
        <w:gridCol w:w="3216"/>
        <w:gridCol w:w="1125"/>
      </w:tblGrid>
      <w:tr w14:paraId="2D65E7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5C5D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5"/>
              </w:rPr>
            </w:pPr>
            <w:r>
              <w:rPr>
                <w:rFonts w:ascii="Noto Serif CJK SC" w:hAnsi="Noto Serif CJK SC" w:eastAsia="Noto Serif CJK SC"/>
                <w:b/>
                <w:sz w:val="15"/>
              </w:rPr>
              <w:t>一级主题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E34F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5"/>
              </w:rPr>
            </w:pPr>
            <w:r>
              <w:rPr>
                <w:rFonts w:ascii="Noto Serif CJK SC" w:hAnsi="Noto Serif CJK SC" w:eastAsia="Noto Serif CJK SC"/>
                <w:b/>
                <w:sz w:val="15"/>
              </w:rPr>
              <w:t>二级代码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E177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5"/>
              </w:rPr>
            </w:pPr>
            <w:r>
              <w:rPr>
                <w:rFonts w:ascii="Noto Serif CJK SC" w:hAnsi="Noto Serif CJK SC" w:eastAsia="Noto Serif CJK SC"/>
                <w:b/>
                <w:sz w:val="15"/>
              </w:rPr>
              <w:t>二级主题名称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83A8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5"/>
              </w:rPr>
            </w:pPr>
            <w:r>
              <w:rPr>
                <w:rFonts w:ascii="Noto Serif CJK SC" w:hAnsi="Noto Serif CJK SC" w:eastAsia="Noto Serif CJK SC"/>
                <w:b/>
                <w:sz w:val="15"/>
              </w:rPr>
              <w:t>操作性定义（简写）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FC519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5"/>
              </w:rPr>
            </w:pPr>
            <w:r>
              <w:rPr>
                <w:rFonts w:ascii="Noto Serif CJK SC" w:hAnsi="Noto Serif CJK SC" w:eastAsia="Noto Serif CJK SC"/>
                <w:b/>
                <w:sz w:val="15"/>
              </w:rPr>
              <w:t>典型触发词/短语（示例）</w:t>
            </w:r>
          </w:p>
        </w:tc>
        <w:tc>
          <w:tcPr>
            <w:tcW w:w="112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BD68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5"/>
              </w:rPr>
            </w:pPr>
            <w:r>
              <w:rPr>
                <w:rFonts w:ascii="Noto Serif CJK SC" w:hAnsi="Noto Serif CJK SC" w:eastAsia="Noto Serif CJK SC"/>
                <w:b/>
                <w:sz w:val="15"/>
              </w:rPr>
              <w:t>后续变量映射</w:t>
            </w:r>
          </w:p>
        </w:tc>
      </w:tr>
      <w:tr w14:paraId="78195F3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215B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E38E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8D68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平台建设与在线办理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5A37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PPP管理、审批、受理、流程办理的线上平台化表达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3937D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平台、系统、在线办理、网上审批、一网通办</w:t>
            </w:r>
          </w:p>
        </w:tc>
        <w:tc>
          <w:tcPr>
            <w:tcW w:w="112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474A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A1_idx / A_idx</w:t>
            </w:r>
          </w:p>
        </w:tc>
      </w:tr>
      <w:tr w14:paraId="6D4F33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F47C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85F3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913B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数据共享与动态报送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6B90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跨部门数据共享、动态更新、监测台账、接口对接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8DD9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数据共享、归集、动态报送、数据接口、互联互通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6D46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A2_idx / A_idx</w:t>
            </w:r>
          </w:p>
        </w:tc>
      </w:tr>
      <w:tr w14:paraId="1CFB56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2F5ED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B256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01FD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bookmarkStart w:id="0" w:name="_GoBack"/>
            <w:r>
              <w:rPr>
                <w:rFonts w:ascii="Noto Serif CJK SC" w:hAnsi="Noto Serif CJK SC" w:eastAsia="Noto Serif CJK SC"/>
                <w:b w:val="0"/>
                <w:sz w:val="15"/>
              </w:rPr>
              <w:t>信息公开与透明协同</w:t>
            </w:r>
            <w:bookmarkEnd w:id="0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2BC8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项目公示、披露、过程透明、社会监督便利性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726F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信息公开、公示、披露、透明、公告、社会监督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25CE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A3_idx / A_idx</w:t>
            </w:r>
          </w:p>
        </w:tc>
      </w:tr>
      <w:tr w14:paraId="31C0866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D84CE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D79B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BBBA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项目识别、筛选与入库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5BFB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PPP项目识别、储备、筛选、遴选、入库管理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D083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项目识别、项目储备库、入库、备选项目、适宜采用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A9FE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B1_idx / B_idx</w:t>
            </w:r>
          </w:p>
        </w:tc>
      </w:tr>
      <w:tr w14:paraId="6D2AB3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9D4C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B6DFA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1EC3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财政承受能力与物有所值论证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EB8D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财承、VFM、支出责任、预算约束与财务测算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B660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财政承受能力、物有所值、VFM、支出责任、预算约束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C190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B2_idx / B_idx</w:t>
            </w:r>
          </w:p>
        </w:tc>
      </w:tr>
      <w:tr w14:paraId="3B5121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A327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1BEA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7468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实施方案设计与审批程序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2B0F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实施方案编制、审议、批复、备案、联审联批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24E2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实施方案、审批程序、审议、批复、备案、论证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00B7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B3_idx / B_idx</w:t>
            </w:r>
          </w:p>
        </w:tc>
      </w:tr>
      <w:tr w14:paraId="421228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A4EA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F7E5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B80A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社会资本采购与竞争配置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4A16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招标采购、资格预审、评标、中标与竞争配置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26A1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采购、公开招标、竞争性磋商、资格预审、中标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C1D2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C1_idx / C_idx</w:t>
            </w:r>
          </w:p>
        </w:tc>
      </w:tr>
      <w:tr w14:paraId="035027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8C71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C7E0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0067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合同设计、权责配置与收益安排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8E9A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PPP合同、风险分担、回报机制、付费方式、收益安排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E8D8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合同、权利义务、风险分担、回报机制、政府付费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915D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C2_idx / C_idx</w:t>
            </w:r>
          </w:p>
        </w:tc>
      </w:tr>
      <w:tr w14:paraId="7E4376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AB80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1824B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8082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项目执行、绩效评价与运营维护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0279B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项目实施、建设推进、运营管理、绩效考核、后评价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A29D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实施、执行、推进、运营、维护、绩效评价、验收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D961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C3_idx / C_idx</w:t>
            </w:r>
          </w:p>
        </w:tc>
      </w:tr>
      <w:tr w14:paraId="1F4BD8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D42C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194B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38B1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财政约束、债务底线与责任风险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6699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财政风险、债务约束、隐性债务、底线管理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9DF1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财政风险、债务风险、隐性债务、底线管理、责任边界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8DAA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D1_idx / D_idx</w:t>
            </w:r>
          </w:p>
        </w:tc>
      </w:tr>
      <w:tr w14:paraId="2215FA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AD88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FF16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40E6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违约失灵、终止补偿与退出机制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A3C5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违约、提前终止、补偿、退出、重组与失败项目处置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8185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违约、终止、补偿、退出、解约、清算、风险处置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376E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D2_idx / D_idx</w:t>
            </w:r>
          </w:p>
        </w:tc>
      </w:tr>
      <w:tr w14:paraId="1075E2C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6E10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1E66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D3</w:t>
            </w:r>
          </w:p>
        </w:tc>
        <w:tc>
          <w:tcPr>
            <w:tcW w:w="19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5596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监督检查、整改清退与问责纠偏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C05E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监管、审计、整改、清退、责任追究与纠偏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378D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监管、审计、督查、整改、清退、问责、黑名单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B5AA3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D3_idx / D_idx</w:t>
            </w:r>
          </w:p>
        </w:tc>
      </w:tr>
    </w:tbl>
    <w:p w14:paraId="6C1D9387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B 文本分析产物与变量落地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37FE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4AD9B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环节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A48AC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当前正式数据/结果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DA267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作用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F499E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后续进入章节</w:t>
            </w:r>
          </w:p>
        </w:tc>
      </w:tr>
      <w:tr w14:paraId="5E9D3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383C8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试编码样本数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B1259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120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52EA3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形成初始代码本、训练监督分类器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72632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第3.1、3.5节</w:t>
            </w:r>
          </w:p>
        </w:tc>
      </w:tr>
      <w:tr w14:paraId="5B69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4B3D3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原始全文语料规模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7BEB9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1472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D8C9C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文本分析总语料基础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11D07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第3章</w:t>
            </w:r>
          </w:p>
        </w:tc>
      </w:tr>
      <w:tr w14:paraId="4F1D0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C5B56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DID主识别窗口文档样本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61F06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1307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5E2FA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形成文档级文本变量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C1556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第4章</w:t>
            </w:r>
          </w:p>
        </w:tc>
      </w:tr>
      <w:tr w14:paraId="6579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558EB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正式文本省—年口径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A6769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288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467B7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形成省—年可回归文本变量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8DE5C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第4—5章</w:t>
            </w:r>
          </w:p>
        </w:tc>
      </w:tr>
      <w:tr w14:paraId="40B2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59C13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机器主题数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F9C15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24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0DB0F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BERTopic 前端主题发现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16488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第3.4节</w:t>
            </w:r>
          </w:p>
        </w:tc>
      </w:tr>
      <w:tr w14:paraId="11EE1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DE2BD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当前最佳监督分类模型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6A360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LinearSVC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A3AAD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自动编码可信度增强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70B3B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第3.5节</w:t>
            </w:r>
          </w:p>
        </w:tc>
      </w:tr>
      <w:tr w14:paraId="390A1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C8266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当前最佳模型 micro-F1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38AA6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0.8638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95471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证明传统线性模型在当前样本下更稳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25696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第3.5节</w:t>
            </w:r>
          </w:p>
        </w:tc>
      </w:tr>
      <w:tr w14:paraId="58AC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71879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文本变量最终落地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467F2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A_idx、B_idx、C_idx、D_idx、topic shares</w:t>
            </w:r>
          </w:p>
        </w:tc>
        <w:tc>
          <w:tcPr>
            <w:tcW w:w="33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3EF86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接入机制、稳健性和扩展分析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DC7AB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第4、6、9章</w:t>
            </w:r>
          </w:p>
        </w:tc>
      </w:tr>
    </w:tbl>
    <w:p w14:paraId="169E05F3">
      <w:pPr>
        <w:spacing w:before="40" w:after="160" w:line="240" w:lineRule="auto"/>
        <w:jc w:val="left"/>
      </w:pPr>
      <w:r>
        <w:rPr>
          <w:rFonts w:ascii="Noto Serif CJK SC" w:hAnsi="Noto Serif CJK SC" w:eastAsia="Noto Serif CJK SC"/>
          <w:b w:val="0"/>
          <w:sz w:val="16"/>
        </w:rPr>
        <w:t>注：Panel A 展示代码本、词典与制度语境的对应关系；Panel B 展示文本分析结果如何转化为变量工程。BERTopic 在本文中定位为前端主题发现工具，而非主识别模型；监督分类增强用于提高自动编码可信度，不替代 DID/TWFE 主识别。数据来源：作者根据 PPP_代码本_V3、PPP_正式词典_V2、PPP_BERTopic正式版_V2、PPP_第3部分可选监督分类环节_V2 和相关 CSV 文件整理。</w:t>
      </w:r>
    </w:p>
    <w:p w14:paraId="6CC6521E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6"/>
        </w:rPr>
        <w:t>表3 V3主面板样本结构、处理时点与主要变量描述统计</w:t>
      </w:r>
    </w:p>
    <w:p w14:paraId="46E498EC">
      <w:pPr>
        <w:spacing w:before="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A 样本筛选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3"/>
        <w:gridCol w:w="3553"/>
        <w:gridCol w:w="3553"/>
      </w:tblGrid>
      <w:tr w14:paraId="2CFCF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450F2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步骤</w:t>
            </w:r>
          </w:p>
        </w:tc>
        <w:tc>
          <w:tcPr>
            <w:tcW w:w="59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55328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口径说明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BBBF7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观测数</w:t>
            </w:r>
          </w:p>
        </w:tc>
      </w:tr>
      <w:tr w14:paraId="5C085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68AEE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理论地区宇宙</w:t>
            </w:r>
          </w:p>
        </w:tc>
        <w:tc>
          <w:tcPr>
            <w:tcW w:w="59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98CB6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31省区市 + 新疆生产建设兵团，不含中央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76D13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288</w:t>
            </w:r>
          </w:p>
        </w:tc>
      </w:tr>
      <w:tr w14:paraId="5EBF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CDB8C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V3主面板样本</w:t>
            </w:r>
          </w:p>
        </w:tc>
        <w:tc>
          <w:tcPr>
            <w:tcW w:w="59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C380D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方案2正式主面板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612B5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266</w:t>
            </w:r>
          </w:p>
        </w:tc>
      </w:tr>
      <w:tr w14:paraId="1A5B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B1B7C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5.3正式回归有效样本</w:t>
            </w:r>
          </w:p>
        </w:tc>
        <w:tc>
          <w:tcPr>
            <w:tcW w:w="59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8D993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控制变量非缺失后的正式估计样本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51B3A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262</w:t>
            </w:r>
          </w:p>
        </w:tc>
      </w:tr>
    </w:tbl>
    <w:p w14:paraId="2CEDD40B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B 处理时点分布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9"/>
        <w:gridCol w:w="5329"/>
      </w:tblGrid>
      <w:tr w14:paraId="62EF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7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813F5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处理组类型</w:t>
            </w:r>
          </w:p>
        </w:tc>
        <w:tc>
          <w:tcPr>
            <w:tcW w:w="30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CCD81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数量/说明</w:t>
            </w:r>
          </w:p>
        </w:tc>
      </w:tr>
      <w:tr w14:paraId="0D8C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D1C9A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首个处理年份为2016年的省级单元</w:t>
            </w:r>
          </w:p>
        </w:tc>
        <w:tc>
          <w:tcPr>
            <w:tcW w:w="30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EFEB7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28</w:t>
            </w:r>
          </w:p>
        </w:tc>
      </w:tr>
      <w:tr w14:paraId="6CAAD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A910C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首个处理年份为2017年的省级单元</w:t>
            </w:r>
          </w:p>
        </w:tc>
        <w:tc>
          <w:tcPr>
            <w:tcW w:w="30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C19CC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</w:t>
            </w:r>
          </w:p>
        </w:tc>
      </w:tr>
      <w:tr w14:paraId="3B86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5F97D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never-treated 对照省级单元</w:t>
            </w:r>
          </w:p>
        </w:tc>
        <w:tc>
          <w:tcPr>
            <w:tcW w:w="30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B1869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4</w:t>
            </w:r>
          </w:p>
        </w:tc>
      </w:tr>
    </w:tbl>
    <w:p w14:paraId="1C8EA9DC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C 主要变量描述统计（含非缺失观测数）</w:t>
      </w:r>
    </w:p>
    <w:tbl>
      <w:tblPr>
        <w:tblStyle w:val="33"/>
        <w:tblW w:w="10754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2"/>
        <w:gridCol w:w="780"/>
        <w:gridCol w:w="1459"/>
        <w:gridCol w:w="1459"/>
        <w:gridCol w:w="1285"/>
        <w:gridCol w:w="1459"/>
        <w:gridCol w:w="1460"/>
      </w:tblGrid>
      <w:tr w14:paraId="361EA3D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5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6FAC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变量</w:t>
            </w:r>
          </w:p>
        </w:tc>
        <w:tc>
          <w:tcPr>
            <w:tcW w:w="78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7B71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N</w:t>
            </w:r>
          </w:p>
        </w:tc>
        <w:tc>
          <w:tcPr>
            <w:tcW w:w="145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C153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均值</w:t>
            </w:r>
          </w:p>
        </w:tc>
        <w:tc>
          <w:tcPr>
            <w:tcW w:w="145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87129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标准差</w:t>
            </w:r>
          </w:p>
        </w:tc>
        <w:tc>
          <w:tcPr>
            <w:tcW w:w="128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C8AD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最小值</w:t>
            </w:r>
          </w:p>
        </w:tc>
        <w:tc>
          <w:tcPr>
            <w:tcW w:w="145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BC99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中位数</w:t>
            </w:r>
          </w:p>
        </w:tc>
        <w:tc>
          <w:tcPr>
            <w:tcW w:w="146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0418D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b/>
                <w:sz w:val="16"/>
              </w:rPr>
            </w:pPr>
            <w:r>
              <w:rPr>
                <w:rFonts w:ascii="Noto Serif CJK SC" w:hAnsi="Noto Serif CJK SC" w:eastAsia="Noto Serif CJK SC"/>
                <w:b/>
                <w:sz w:val="16"/>
              </w:rPr>
              <w:t>最大值</w:t>
            </w:r>
          </w:p>
        </w:tc>
      </w:tr>
      <w:tr w14:paraId="4175987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E253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exec_share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B6D2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BD94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0.7061</w:t>
            </w:r>
          </w:p>
        </w:tc>
        <w:tc>
          <w:tcPr>
            <w:tcW w:w="14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C6A8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0.3413</w:t>
            </w:r>
          </w:p>
        </w:tc>
        <w:tc>
          <w:tcPr>
            <w:tcW w:w="12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D550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22F5B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0.8659</w:t>
            </w:r>
          </w:p>
        </w:tc>
        <w:tc>
          <w:tcPr>
            <w:tcW w:w="14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7E30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1.0000</w:t>
            </w:r>
          </w:p>
        </w:tc>
      </w:tr>
      <w:tr w14:paraId="7E0A1E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26F4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proc_share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3DD54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FE38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0.2794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AB06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0.3440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2078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7AB35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0.1118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4EC0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1.0000</w:t>
            </w:r>
          </w:p>
        </w:tc>
      </w:tr>
      <w:tr w14:paraId="74BB5E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28DC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prep_share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93E1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23F9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0.0145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6439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0.0386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A8E0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7A45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9045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0.3333</w:t>
            </w:r>
          </w:p>
        </w:tc>
      </w:tr>
      <w:tr w14:paraId="6175AA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E6C4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ppp_quality_zindex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6876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68BD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0.0055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11E0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0.4648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F1FB5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-2.8557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C6CF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0.1820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3351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0.4246</w:t>
            </w:r>
          </w:p>
        </w:tc>
      </w:tr>
      <w:tr w14:paraId="740444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688A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vfm_pass_rate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98D6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BED8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0.9452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435FB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0.1511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57FD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3609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1.0000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0CE8D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1.0000</w:t>
            </w:r>
          </w:p>
        </w:tc>
      </w:tr>
      <w:tr w14:paraId="2C403F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8B2B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fiscal_pass_rate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F45A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659B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0.9286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0C7B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0.1890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ACF5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91F0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1.0000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245B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1.0000</w:t>
            </w:r>
          </w:p>
        </w:tc>
      </w:tr>
      <w:tr w14:paraId="045BB7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D6AF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treat_share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2864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DFE3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0.3008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6344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0.2793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88BE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30A0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0.2143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982A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1.0000</w:t>
            </w:r>
          </w:p>
        </w:tc>
      </w:tr>
      <w:tr w14:paraId="62EC3AD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787A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A_idx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2DAD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6FBE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27.5498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6E6C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53.1080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FB40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A793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21.7453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CACF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505.6180</w:t>
            </w:r>
          </w:p>
        </w:tc>
      </w:tr>
      <w:tr w14:paraId="30B8DEF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8303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B_idx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E32B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ED84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52.2510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ED72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53.6970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3C3D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5A14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49.1746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50CF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363.2887</w:t>
            </w:r>
          </w:p>
        </w:tc>
      </w:tr>
      <w:tr w14:paraId="1E2FFD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0E339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C_idx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3404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2492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143.9109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09261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106.9286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8809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E874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168.1175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47EA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380.7391</w:t>
            </w:r>
          </w:p>
        </w:tc>
      </w:tr>
      <w:tr w14:paraId="3951208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00AD3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D_idx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2D92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2C8C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29.5266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FB40C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34.6515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B1F8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DDBE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29.5980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4B6C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384.6154</w:t>
            </w:r>
          </w:p>
        </w:tc>
      </w:tr>
      <w:tr w14:paraId="052AD8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A1AF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dfi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AADB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262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0F67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263.8445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A8F4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97.5400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D5CB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61.4700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9BC8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273.1650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E9CA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458.9700</w:t>
            </w:r>
          </w:p>
        </w:tc>
      </w:tr>
      <w:tr w14:paraId="35B19BF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BFCC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digital_econ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F858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262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0AC20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0.1353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2A13C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0.1047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2D1D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0.0174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C285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0.1013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F035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0.5903</w:t>
            </w:r>
          </w:p>
        </w:tc>
      </w:tr>
      <w:tr w14:paraId="37E651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5146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base_station_density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6434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262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7135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0.0280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94E0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0.0207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7E46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0.0035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AB38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0.0218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8649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0.1048</w:t>
            </w:r>
          </w:p>
        </w:tc>
      </w:tr>
      <w:tr w14:paraId="3C95AD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F0643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ln_rd_expenditure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935CB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262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ACB2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7.9358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C164F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0.9215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2698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5.6353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5B93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7.9150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1BB03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10.1334</w:t>
            </w:r>
          </w:p>
        </w:tc>
      </w:tr>
      <w:tr w14:paraId="11969B1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C176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ln_tech_contract_value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4D3CE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262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9AAE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5.6816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BC3E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1.2834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3CF3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1.3600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020C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5.7558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4A7EA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8.8443</w:t>
            </w:r>
          </w:p>
        </w:tc>
      </w:tr>
      <w:tr w14:paraId="2CF3393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A0CC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ln_patent_grants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C3FF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262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B277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10.0760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439A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1.4254</w:t>
            </w:r>
          </w:p>
        </w:tc>
        <w:tc>
          <w:tcPr>
            <w:tcW w:w="128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F0C8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6.1686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6488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10.0809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7EA7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Noto Serif CJK SC" w:eastAsia="Noto Serif CJK SC"/>
                <w:sz w:val="15"/>
              </w:rPr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13.3356</w:t>
            </w:r>
          </w:p>
        </w:tc>
      </w:tr>
    </w:tbl>
    <w:p w14:paraId="49084737">
      <w:pPr>
        <w:spacing w:before="40" w:after="160" w:line="240" w:lineRule="auto"/>
        <w:jc w:val="left"/>
      </w:pPr>
      <w:r>
        <w:rPr>
          <w:rFonts w:ascii="Noto Serif CJK SC" w:hAnsi="Noto Serif CJK SC" w:eastAsia="Noto Serif CJK SC"/>
          <w:b w:val="0"/>
          <w:sz w:val="16"/>
        </w:rPr>
        <w:t>注：Panel A 展示正式样本筛选逻辑；Panel B 展示处理时点分布；Panel C 报告当前 V3 主面板主要变量的描述统计，其中 N 为变量的非缺失观测数。结果变量、处理变量和文本变量在当前主面板中基本完整，因此其非缺失观测数多为 266；部分控制变量存在缺失，因此其非缺失观测数为 262，这也是第5部分 5.3 正式回归样本量为 262 的直接原因。数据来源：作者根据 PPP_3.6_model_ready_panel_v3_统一口径_方案2_实际执行版_20260413_1048.csv 和 PPP_第5部分_5.2描述统计与样本结构诊断_V2 等整理。</w:t>
      </w:r>
    </w:p>
    <w:p w14:paraId="715E8888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6"/>
        </w:rPr>
        <w:t>表4 政务服务数字化改革与PPP推进结构：基准多期DID/TWFE结果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0997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A8D7F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被解释变量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23796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(1) did_intensity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E7C69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(2) did_any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A8A88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(3) treat_share</w:t>
            </w:r>
          </w:p>
        </w:tc>
      </w:tr>
      <w:tr w14:paraId="74FBC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ED977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exec_share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B4DB5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0.0927 / (0.0721) / [0.1986]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190B5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0.0341 / (0.0347) / [0.3256]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F0F6A9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0.3556*** / (0.1002) / [0.0004]</w:t>
            </w:r>
          </w:p>
        </w:tc>
      </w:tr>
      <w:tr w14:paraId="09701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71A4A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proc_share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FCC5E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-0.1061 / (0.0752) / [0.1583]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8752B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-0.0809** / (0.0358) / [0.0239]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5B3C8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-0.4023*** / (0.1019) / [0.0001]</w:t>
            </w:r>
          </w:p>
        </w:tc>
      </w:tr>
      <w:tr w14:paraId="297F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160D5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ppp_quality_zindex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7141C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0.0653 / (0.1215) / [0.5912]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020EB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-0.0775 / (0.1584) / [0.6247]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CBF90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0.5253 / (0.4214) / [0.2126]</w:t>
            </w:r>
          </w:p>
        </w:tc>
      </w:tr>
      <w:tr w14:paraId="3978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495BB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控制变量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88556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Yes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780E3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Yes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CA34D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Yes</w:t>
            </w:r>
          </w:p>
        </w:tc>
      </w:tr>
      <w:tr w14:paraId="15C6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9E201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省份固定效应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530D2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Yes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EE5C9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Yes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37339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Yes</w:t>
            </w:r>
          </w:p>
        </w:tc>
      </w:tr>
      <w:tr w14:paraId="237D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FD26C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年份固定效应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45B05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Yes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AEBDF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Yes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936C4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Yes</w:t>
            </w:r>
          </w:p>
        </w:tc>
      </w:tr>
      <w:tr w14:paraId="305F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516A1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聚类层级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0FDD8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province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54A17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province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61709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province</w:t>
            </w:r>
          </w:p>
        </w:tc>
      </w:tr>
      <w:tr w14:paraId="1EDFC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6F04F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N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BF184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262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C0ABB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262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A4958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262</w:t>
            </w:r>
          </w:p>
        </w:tc>
      </w:tr>
      <w:tr w14:paraId="662EA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1A9EC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R²（exec_share）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A4AB8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0.8394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FF1C2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0.8388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3ED90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0.8392</w:t>
            </w:r>
          </w:p>
        </w:tc>
      </w:tr>
      <w:tr w14:paraId="39B66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FFD05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R²（proc_share）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A2681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0.8440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4153B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0.8440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7AEAF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0.8437</w:t>
            </w:r>
          </w:p>
        </w:tc>
      </w:tr>
      <w:tr w14:paraId="63354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BC3D3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R²（ppp_quality_zindex）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59F28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0.6124</w:t>
            </w:r>
          </w:p>
        </w:tc>
        <w:tc>
          <w:tcPr>
            <w:tcW w:w="28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AFB26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0.6127</w:t>
            </w:r>
          </w:p>
        </w:tc>
        <w:tc>
          <w:tcPr>
            <w:tcW w:w="29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A4C7A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0.6129</w:t>
            </w:r>
          </w:p>
        </w:tc>
      </w:tr>
    </w:tbl>
    <w:p w14:paraId="55AF7839">
      <w:pPr>
        <w:spacing w:before="40" w:after="160" w:line="240" w:lineRule="auto"/>
        <w:jc w:val="left"/>
      </w:pPr>
      <w:r>
        <w:rPr>
          <w:rFonts w:ascii="Noto Serif CJK SC" w:hAnsi="Noto Serif CJK SC" w:eastAsia="Noto Serif CJK SC"/>
          <w:b w:val="0"/>
          <w:sz w:val="16"/>
        </w:rPr>
        <w:t>注：表中每个回归单元依次报告“系数 / 聚类稳健标准误 / p值”。***、**、* 分别表示在 1%、5%、10% 水平上显著。所有回归均控制省份固定效应、年份固定效应及一组地区层面控制变量。正式口径以当前 V3 主面板重估结果为准。数据来源：作者根据 PPP_第5部分_5.3正式回归结果长表_V3_重估版_20260413_1048.csv 整理。正文判读应优先突出 exec_share 上升与 proc_share 下降，质量型结果仅能写为支持有限。</w:t>
      </w:r>
    </w:p>
    <w:p w14:paraId="5D5DB3F5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6"/>
        </w:rPr>
        <w:t>表5 文本治理结构变化与PPP推进结构：机制检验摘要（当前可用机制结果）</w:t>
      </w:r>
    </w:p>
    <w:p w14:paraId="7D3B9662">
      <w:pPr>
        <w:spacing w:before="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A 一阶段机制回归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719E2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AAA94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机制变量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5E1FE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treat_share → M 的系数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51489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p值</w:t>
            </w:r>
          </w:p>
        </w:tc>
        <w:tc>
          <w:tcPr>
            <w:tcW w:w="56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E79F7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当前判读</w:t>
            </w:r>
          </w:p>
        </w:tc>
      </w:tr>
      <w:tr w14:paraId="6C55C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65F5A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A_idx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FBEE0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170.2099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122C9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0.0000</w:t>
            </w:r>
          </w:p>
        </w:tc>
        <w:tc>
          <w:tcPr>
            <w:tcW w:w="56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3B9D3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改革显著提升数字治理接口表达</w:t>
            </w:r>
          </w:p>
        </w:tc>
      </w:tr>
      <w:tr w14:paraId="46F10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BAD8A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B_idx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CFBFC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-303.6780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2269A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0.0002</w:t>
            </w:r>
          </w:p>
        </w:tc>
        <w:tc>
          <w:tcPr>
            <w:tcW w:w="56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DE50D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改革显著改变前端准入治理结构</w:t>
            </w:r>
          </w:p>
        </w:tc>
      </w:tr>
      <w:tr w14:paraId="732C3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C3DBC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C_idx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08E8C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-526.6563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C00AD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0.0000</w:t>
            </w:r>
          </w:p>
        </w:tc>
        <w:tc>
          <w:tcPr>
            <w:tcW w:w="56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3C3F5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改革显著改变采购—执行治理结构</w:t>
            </w:r>
          </w:p>
        </w:tc>
      </w:tr>
      <w:tr w14:paraId="6F8E6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F9AB2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D_idx</w:t>
            </w:r>
          </w:p>
        </w:tc>
        <w:tc>
          <w:tcPr>
            <w:tcW w:w="20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DD957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-45.2302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01021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0.3320</w:t>
            </w:r>
          </w:p>
        </w:tc>
        <w:tc>
          <w:tcPr>
            <w:tcW w:w="561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BECEC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风险治理文本响应方向存在，但不稳定</w:t>
            </w:r>
          </w:p>
        </w:tc>
      </w:tr>
    </w:tbl>
    <w:p w14:paraId="2944C405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B 主体机制结果（以 A_idx 为例）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523"/>
        <w:gridCol w:w="1523"/>
        <w:gridCol w:w="1523"/>
        <w:gridCol w:w="1523"/>
        <w:gridCol w:w="1523"/>
        <w:gridCol w:w="1523"/>
      </w:tblGrid>
      <w:tr w14:paraId="72678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DCC2E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被解释变量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32D69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baseline</w:t>
            </w:r>
            <w:r>
              <w:rPr>
                <w:rFonts w:ascii="Noto Serif CJK SC" w:hAnsi="Noto Serif CJK SC" w:eastAsia="Noto Serif CJK SC"/>
                <w:b/>
                <w:sz w:val="15"/>
              </w:rPr>
              <w:br w:type="textWrapping"/>
            </w:r>
            <w:r>
              <w:rPr>
                <w:rFonts w:ascii="Noto Serif CJK SC" w:hAnsi="Noto Serif CJK SC" w:eastAsia="Noto Serif CJK SC"/>
                <w:b/>
                <w:sz w:val="15"/>
              </w:rPr>
              <w:t>treat_share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FF3CA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含 A_idx 后的</w:t>
            </w:r>
            <w:r>
              <w:rPr>
                <w:rFonts w:ascii="Noto Serif CJK SC" w:hAnsi="Noto Serif CJK SC" w:eastAsia="Noto Serif CJK SC"/>
                <w:b/>
                <w:sz w:val="15"/>
              </w:rPr>
              <w:br w:type="textWrapping"/>
            </w:r>
            <w:r>
              <w:rPr>
                <w:rFonts w:ascii="Noto Serif CJK SC" w:hAnsi="Noto Serif CJK SC" w:eastAsia="Noto Serif CJK SC"/>
                <w:b/>
                <w:sz w:val="15"/>
              </w:rPr>
              <w:t>treat_share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6313F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p值（treat_share）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3ED21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A_idx 系数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06A5D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p值（A_idx）</w:t>
            </w:r>
          </w:p>
        </w:tc>
        <w:tc>
          <w:tcPr>
            <w:tcW w:w="28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910FC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当前判读</w:t>
            </w:r>
          </w:p>
        </w:tc>
      </w:tr>
      <w:tr w14:paraId="557D5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A2BFB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exec_share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A93ED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0.3556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B895E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0.3074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B8337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0.0081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69D93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0.000284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49ABD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0.2830</w:t>
            </w:r>
          </w:p>
        </w:tc>
        <w:tc>
          <w:tcPr>
            <w:tcW w:w="28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44BDF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主效应仍显著，中介项不显著</w:t>
            </w:r>
          </w:p>
        </w:tc>
      </w:tr>
      <w:tr w14:paraId="09F4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E0354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proc_share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8451B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-0.4023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F1D19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-0.3575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9920C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0.0019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81E7D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-0.000263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8C1FB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0.3102</w:t>
            </w:r>
          </w:p>
        </w:tc>
        <w:tc>
          <w:tcPr>
            <w:tcW w:w="28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E8B9F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主效应仍显著，中介项不显著</w:t>
            </w:r>
          </w:p>
        </w:tc>
      </w:tr>
      <w:tr w14:paraId="1088A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60D43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ppp_quality_zindex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98762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0.5253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D50F2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0.4663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0CC55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0.2710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FE037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0.000346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2C8B5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0.3214</w:t>
            </w:r>
          </w:p>
        </w:tc>
        <w:tc>
          <w:tcPr>
            <w:tcW w:w="28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91505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主效应与中介项均不稳</w:t>
            </w:r>
          </w:p>
        </w:tc>
      </w:tr>
    </w:tbl>
    <w:p w14:paraId="598570BA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C 链式与严格中介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2B7A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6035F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路径/检验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39FC7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系数/间接效应</w:t>
            </w:r>
          </w:p>
        </w:tc>
        <w:tc>
          <w:tcPr>
            <w:tcW w:w="39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B5058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p值或区间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BE697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6"/>
              </w:rPr>
              <w:t>当前判读</w:t>
            </w:r>
          </w:p>
        </w:tc>
      </w:tr>
      <w:tr w14:paraId="08A5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7E71B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treat_share → A_idx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345A7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175.5750</w:t>
            </w:r>
          </w:p>
        </w:tc>
        <w:tc>
          <w:tcPr>
            <w:tcW w:w="39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FF85C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0.000001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9BB0C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显著</w:t>
            </w:r>
          </w:p>
        </w:tc>
      </w:tr>
      <w:tr w14:paraId="0753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6D3E0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A_idx → B_idx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FB1A0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0.0328</w:t>
            </w:r>
          </w:p>
        </w:tc>
        <w:tc>
          <w:tcPr>
            <w:tcW w:w="39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BDC4D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0.5602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69DF8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不稳</w:t>
            </w:r>
          </w:p>
        </w:tc>
      </w:tr>
      <w:tr w14:paraId="0A201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81942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B_idx → C_idx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E6178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0.8578</w:t>
            </w:r>
          </w:p>
        </w:tc>
        <w:tc>
          <w:tcPr>
            <w:tcW w:w="39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E9882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0.000053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18B97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显著且较稳</w:t>
            </w:r>
          </w:p>
        </w:tc>
      </w:tr>
      <w:tr w14:paraId="10264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2AE82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C_idx → D_idx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7C2F4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0.0934</w:t>
            </w:r>
          </w:p>
        </w:tc>
        <w:tc>
          <w:tcPr>
            <w:tcW w:w="39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C1A2F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0.000469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55904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显著</w:t>
            </w:r>
          </w:p>
        </w:tc>
      </w:tr>
      <w:tr w14:paraId="040B3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06ADA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treat_share → D_idx（控制 A/B/C 后）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4D523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0.0533</w:t>
            </w:r>
          </w:p>
        </w:tc>
        <w:tc>
          <w:tcPr>
            <w:tcW w:w="39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7DEA6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0.9991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81277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直接效应消失</w:t>
            </w:r>
          </w:p>
        </w:tc>
      </w:tr>
      <w:tr w14:paraId="4233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14374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exec_share 的间接效应（A_idx）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3887C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0.0415</w:t>
            </w:r>
          </w:p>
        </w:tc>
        <w:tc>
          <w:tcPr>
            <w:tcW w:w="39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FBC3D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Sobel p=0.3645；95%CI [-0.2792, 0.1634]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3D0B3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不显著</w:t>
            </w:r>
          </w:p>
        </w:tc>
      </w:tr>
      <w:tr w14:paraId="2D08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D43B5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proc_share 的间接效应（A_idx）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EF4E0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-0.0391</w:t>
            </w:r>
          </w:p>
        </w:tc>
        <w:tc>
          <w:tcPr>
            <w:tcW w:w="39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C2E0C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Sobel p=0.3769；95%CI [-0.1573, 0.2645]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C0B4F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不显著</w:t>
            </w:r>
          </w:p>
        </w:tc>
      </w:tr>
      <w:tr w14:paraId="5C78C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59FB2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ppp_quality_zindex 的间接效应（A_idx）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035CD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0.0406</w:t>
            </w:r>
          </w:p>
        </w:tc>
        <w:tc>
          <w:tcPr>
            <w:tcW w:w="396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2214D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Sobel p=0.5125；95%CI [-0.4158, 0.2012]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BEF40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不显著</w:t>
            </w:r>
          </w:p>
        </w:tc>
      </w:tr>
    </w:tbl>
    <w:p w14:paraId="5567C576">
      <w:pPr>
        <w:spacing w:before="40" w:after="160" w:line="240" w:lineRule="auto"/>
        <w:jc w:val="left"/>
      </w:pPr>
      <w:r>
        <w:rPr>
          <w:rFonts w:ascii="Noto Serif CJK SC" w:hAnsi="Noto Serif CJK SC" w:eastAsia="Noto Serif CJK SC"/>
          <w:b w:val="0"/>
          <w:sz w:val="16"/>
        </w:rPr>
        <w:t>注：本表报告当前可用的机制检验摘要结果。Panel A 显示改革首先显著改变文本治理结构的一阶段分布；Panel B 表明在结果方程中加入机制变量后，中介项缺乏稳定独立解释力；Panel C 表明存在局部链式传导迹象，但严格中介分解不支持稳定显著的单一路径强中介。因此，第6部分宜写成“接口优先、部分机制、阶段性传导”，而不宜写成完整强中介或完整强链式中介已成立。数据来源：作者根据 PPP_第6部分相关正式文件整理。</w:t>
      </w:r>
    </w:p>
    <w:p w14:paraId="1B5B682D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6"/>
        </w:rPr>
        <w:t>表6 数字基础、治理基础与风险暴露：异质性结果摘要（建议简写版）</w:t>
      </w:r>
    </w:p>
    <w:p w14:paraId="268F9DB9">
      <w:pPr>
        <w:spacing w:before="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A 区域、数字基础与治理基础异质性（交互项摘要）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523"/>
        <w:gridCol w:w="1523"/>
        <w:gridCol w:w="1523"/>
        <w:gridCol w:w="1523"/>
        <w:gridCol w:w="1523"/>
        <w:gridCol w:w="1523"/>
      </w:tblGrid>
      <w:tr w14:paraId="404A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E903B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分组维度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C7323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结果变量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9DA9D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基组 treat_share 系数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58E5D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基组 p值</w:t>
            </w:r>
          </w:p>
        </w:tc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E3426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交互项系数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4B154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交互项 p值</w:t>
            </w:r>
          </w:p>
        </w:tc>
        <w:tc>
          <w:tcPr>
            <w:tcW w:w="208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E47C9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当前判读</w:t>
            </w:r>
          </w:p>
        </w:tc>
      </w:tr>
      <w:tr w14:paraId="3483C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08E23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区域（东/中/西）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6AF7B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exec_share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ECC35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0.4188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95E36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0.0001</w:t>
            </w:r>
          </w:p>
        </w:tc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E9F1B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东部=3.7612；西部=-0.3247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59DF4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0.4245；0.2393</w:t>
            </w:r>
          </w:p>
        </w:tc>
        <w:tc>
          <w:tcPr>
            <w:tcW w:w="208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7AE43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区域差异不稳</w:t>
            </w:r>
          </w:p>
        </w:tc>
      </w:tr>
      <w:tr w14:paraId="0EE57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EE57E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数字经济高低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B88E9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exec_share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4A814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0.3401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4DE31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0.0007</w:t>
            </w:r>
          </w:p>
        </w:tc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66D8B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3.1448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BFD75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0.1956</w:t>
            </w:r>
          </w:p>
        </w:tc>
        <w:tc>
          <w:tcPr>
            <w:tcW w:w="208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1EBED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差异不稳</w:t>
            </w:r>
          </w:p>
        </w:tc>
      </w:tr>
      <w:tr w14:paraId="39895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02CF7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数字金融高低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EF381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exec_share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8E8D2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1.8271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E3999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0.0157</w:t>
            </w:r>
          </w:p>
        </w:tc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FE531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-1.5066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B20BB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0.0575</w:t>
            </w:r>
          </w:p>
        </w:tc>
        <w:tc>
          <w:tcPr>
            <w:tcW w:w="208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9BBFD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边际差异</w:t>
            </w:r>
          </w:p>
        </w:tc>
      </w:tr>
      <w:tr w14:paraId="1BA20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4609D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治理基础高低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1AAE0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exec_share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93930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0.3813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D8A62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0.0013</w:t>
            </w:r>
          </w:p>
        </w:tc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55CAF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-0.1095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94CAF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0.7253</w:t>
            </w:r>
          </w:p>
        </w:tc>
        <w:tc>
          <w:tcPr>
            <w:tcW w:w="208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8299F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差异不稳</w:t>
            </w:r>
          </w:p>
        </w:tc>
      </w:tr>
      <w:tr w14:paraId="223D8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C4A49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区域（东/中/西）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541B9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proc_share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0A0A8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-0.4554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BEEA2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0.0000</w:t>
            </w:r>
          </w:p>
        </w:tc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F2EF3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交互项整体不强</w:t>
            </w:r>
          </w:p>
        </w:tc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BF6C0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&gt;0.10</w:t>
            </w:r>
          </w:p>
        </w:tc>
        <w:tc>
          <w:tcPr>
            <w:tcW w:w="208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55950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差异不稳</w:t>
            </w:r>
          </w:p>
        </w:tc>
      </w:tr>
    </w:tbl>
    <w:p w14:paraId="66A98003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B 风险暴露异质性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523"/>
        <w:gridCol w:w="1523"/>
        <w:gridCol w:w="1523"/>
        <w:gridCol w:w="1523"/>
        <w:gridCol w:w="1523"/>
        <w:gridCol w:w="1523"/>
      </w:tblGrid>
      <w:tr w14:paraId="294A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4AA81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结果变量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4EA05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低风险暴露组</w:t>
            </w:r>
            <w:r>
              <w:rPr>
                <w:rFonts w:ascii="Noto Serif CJK SC" w:hAnsi="Noto Serif CJK SC" w:eastAsia="Noto Serif CJK SC"/>
                <w:b/>
                <w:sz w:val="15"/>
              </w:rPr>
              <w:br w:type="textWrapping"/>
            </w:r>
            <w:r>
              <w:rPr>
                <w:rFonts w:ascii="Noto Serif CJK SC" w:hAnsi="Noto Serif CJK SC" w:eastAsia="Noto Serif CJK SC"/>
                <w:b/>
                <w:sz w:val="15"/>
              </w:rPr>
              <w:t>treat_share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14FFD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低组 p值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1E713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高风险暴露交互项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2C659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交互项 p值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54795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高风险暴露组隐含系数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F637C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当前判读</w:t>
            </w:r>
          </w:p>
        </w:tc>
      </w:tr>
      <w:tr w14:paraId="1A37F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4F94F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exec_share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993A1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0.4079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202D1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0.0002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A5A71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-0.2440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8BF02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0.3676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82260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0.1639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A03D7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交互项不显著，低风险组更稳</w:t>
            </w:r>
          </w:p>
        </w:tc>
      </w:tr>
      <w:tr w14:paraId="363D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487C3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proc_share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71F72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-0.4507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928D7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0.0000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0680C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0.2259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1E706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0.3369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93D92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-0.2247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DFFCB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交互项不显著，低风险组更稳</w:t>
            </w:r>
          </w:p>
        </w:tc>
      </w:tr>
      <w:tr w14:paraId="02ABD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19908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ppp_quality_zindex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E8BCA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0.5441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2003E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0.2932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06B89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-0.0879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A4D9D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0.9160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73D60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0.4563</w:t>
            </w:r>
          </w:p>
        </w:tc>
        <w:tc>
          <w:tcPr>
            <w:tcW w:w="23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25702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未观察到稳定差异</w:t>
            </w:r>
          </w:p>
        </w:tc>
      </w:tr>
    </w:tbl>
    <w:p w14:paraId="302C1173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C 政府数据开放度异质性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14:paraId="6A1A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8BCAE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4"/>
              </w:rPr>
              <w:t>结果变量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1F51B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4"/>
              </w:rPr>
              <w:t>低开放度组效应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79A34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4"/>
              </w:rPr>
              <w:t>低组 p值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CE245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4"/>
              </w:rPr>
              <w:t>交互项系数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A7DF7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4"/>
              </w:rPr>
              <w:t>交互项 p值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84CFD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4"/>
              </w:rPr>
              <w:t>高开放度组效应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068E8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4"/>
              </w:rPr>
              <w:t>高组 p值</w:t>
            </w:r>
          </w:p>
        </w:tc>
        <w:tc>
          <w:tcPr>
            <w:tcW w:w="187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CA1B9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4"/>
              </w:rPr>
              <w:t>当前判读</w:t>
            </w:r>
          </w:p>
        </w:tc>
      </w:tr>
      <w:tr w14:paraId="1FAAF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70B22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exec_share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E4DD0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0.2772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02B98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0.3640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56184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0.1190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3F49F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0.7466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491C4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0.3961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D38A8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0.0023</w:t>
            </w:r>
          </w:p>
        </w:tc>
        <w:tc>
          <w:tcPr>
            <w:tcW w:w="187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0912B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高开放度组更稳，但交互项证据有限</w:t>
            </w:r>
          </w:p>
        </w:tc>
      </w:tr>
      <w:tr w14:paraId="1362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4641F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proc_share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CFD1C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-0.2294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571AD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0.4670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4A823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-0.2328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05EAD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0.5347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64467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-0.4622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8FD41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0.0003</w:t>
            </w:r>
          </w:p>
        </w:tc>
        <w:tc>
          <w:tcPr>
            <w:tcW w:w="187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D93C0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高开放度组更稳，但交互项证据有限</w:t>
            </w:r>
          </w:p>
        </w:tc>
      </w:tr>
      <w:tr w14:paraId="6469A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1B1E3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ppp_quality_zindex</w:t>
            </w:r>
          </w:p>
        </w:tc>
        <w:tc>
          <w:tcPr>
            <w:tcW w:w="122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9D707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1.1977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E1811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0.3397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A4DE4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-0.8604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9E521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0.4814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34F2F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0.3373</w:t>
            </w:r>
          </w:p>
        </w:tc>
        <w:tc>
          <w:tcPr>
            <w:tcW w:w="9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3A67E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0.2912</w:t>
            </w:r>
          </w:p>
        </w:tc>
        <w:tc>
          <w:tcPr>
            <w:tcW w:w="187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9A9CC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质量型结果不稳</w:t>
            </w:r>
          </w:p>
        </w:tc>
      </w:tr>
    </w:tbl>
    <w:p w14:paraId="58E5122E">
      <w:pPr>
        <w:spacing w:before="40" w:after="160" w:line="240" w:lineRule="auto"/>
        <w:jc w:val="left"/>
      </w:pPr>
      <w:r>
        <w:rPr>
          <w:rFonts w:ascii="Noto Serif CJK SC" w:hAnsi="Noto Serif CJK SC" w:eastAsia="Noto Serif CJK SC"/>
          <w:b w:val="0"/>
          <w:sz w:val="16"/>
        </w:rPr>
        <w:t>注：本表仅报告异质性分析的摘要结果，完整长表见附录。当前异质性更适合作为条件差异线索与普遍性说明，而非全文主结论。总体上，主效应并未明显集中于单一区域或单一基础条件；在数字金融基础较高、政府数据开放度较高或低风险暴露地区，推进结构结果表现相对更稳定。数据来源：作者根据 PPP_第7部分相关正式文件整理。</w:t>
      </w:r>
    </w:p>
    <w:p w14:paraId="086C6A48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6"/>
        </w:rPr>
        <w:t>表7 基准结论的稳健性检验摘要</w:t>
      </w:r>
    </w:p>
    <w:p w14:paraId="7E263B67">
      <w:pPr>
        <w:spacing w:before="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A 常规稳健性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1776"/>
        <w:gridCol w:w="1776"/>
        <w:gridCol w:w="1776"/>
        <w:gridCol w:w="1776"/>
      </w:tblGrid>
      <w:tr w14:paraId="58C3B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53F24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规格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39AC4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exec_share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52902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proc_share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7D610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ppp_quality_zindex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3E221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vfm_pass_rate</w:t>
            </w:r>
          </w:p>
        </w:tc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7DC1F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当前判读</w:t>
            </w:r>
          </w:p>
        </w:tc>
      </w:tr>
      <w:tr w14:paraId="7901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B5ABC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baseline_treat_share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85A3A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0.3600*** / [0.0004]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3A02F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-0.4065*** / [0.0001]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9EE10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0.5226 / [0.2470]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FB764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0.0098 / [0.3764]</w:t>
            </w:r>
          </w:p>
        </w:tc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E16F4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主结论</w:t>
            </w:r>
          </w:p>
        </w:tc>
      </w:tr>
      <w:tr w14:paraId="7FC5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6F299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lagged_controls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FE276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0.4197*** / [0.0002]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D04BF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-0.5187*** / [0.0000]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4AC92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0.1865 / [0.5882]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FC2CA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0.0049 / [0.4846]</w:t>
            </w:r>
          </w:p>
        </w:tc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11CD8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推进结构更稳</w:t>
            </w:r>
          </w:p>
        </w:tc>
      </w:tr>
      <w:tr w14:paraId="76C8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56926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drop_extreme_years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4B51B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0.2718** / [0.0397]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DDCA4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-0.3274** / [0.0140]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8AFFA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0.4469 / [0.4079]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88400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0.0119 / [0.3489]</w:t>
            </w:r>
          </w:p>
        </w:tc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B1577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推进结构保持</w:t>
            </w:r>
          </w:p>
        </w:tc>
      </w:tr>
      <w:tr w14:paraId="226E7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4DE8B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drop_special_regions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31A26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0.3419*** / [0.0001]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4D498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-0.3968*** / [0.0000]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D2814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0.5040 / [0.2959]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BE963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0.0111 / [0.3642]</w:t>
            </w:r>
          </w:p>
        </w:tc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BE90A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推进结构保持</w:t>
            </w:r>
          </w:p>
        </w:tc>
      </w:tr>
      <w:tr w14:paraId="03FC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04EA6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text_sample_threshold_doccount_ge1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EB501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0.1557 / [0.2200]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9F66C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-0.2117* / [0.0907]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9841A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0.2766 / [0.6295]</w:t>
            </w:r>
          </w:p>
        </w:tc>
        <w:tc>
          <w:tcPr>
            <w:tcW w:w="15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2AC5F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0.0109 / [0.3690]</w:t>
            </w:r>
          </w:p>
        </w:tc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3FC83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识别对象变化后显著性减弱</w:t>
            </w:r>
          </w:p>
        </w:tc>
      </w:tr>
    </w:tbl>
    <w:p w14:paraId="4F66EF0A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B 替代处理变量、matched-sample DID 与 IV 可行性评估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46F9D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516A2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检验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BBC15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结果变量/候选项</w:t>
            </w:r>
          </w:p>
        </w:tc>
        <w:tc>
          <w:tcPr>
            <w:tcW w:w="37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BC4C1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核心结果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60BC0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当前判读</w:t>
            </w:r>
          </w:p>
        </w:tc>
      </w:tr>
      <w:tr w14:paraId="6B05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6A726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替代处理变量 did_any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7039B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proc_share</w:t>
            </w:r>
          </w:p>
        </w:tc>
        <w:tc>
          <w:tcPr>
            <w:tcW w:w="37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798CF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-0.0814** / p=0.0208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3165C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方向与主结论一致</w:t>
            </w:r>
          </w:p>
        </w:tc>
      </w:tr>
      <w:tr w14:paraId="5079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5F466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替代处理变量 did_intensity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A3969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exec_share / proc_share</w:t>
            </w:r>
          </w:p>
        </w:tc>
        <w:tc>
          <w:tcPr>
            <w:tcW w:w="37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A033C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0.0679 / p=0.3991；-0.0775 / p=0.3529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77E84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方向存在但证据弱</w:t>
            </w:r>
          </w:p>
        </w:tc>
      </w:tr>
      <w:tr w14:paraId="75037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4C4FE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matched-sample DID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8B9F2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exec_share</w:t>
            </w:r>
          </w:p>
        </w:tc>
        <w:tc>
          <w:tcPr>
            <w:tcW w:w="37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77327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-0.5361* / p=0.0871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0AE74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匹配后方向波动，不替代主识别</w:t>
            </w:r>
          </w:p>
        </w:tc>
      </w:tr>
      <w:tr w14:paraId="65B7F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163BD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matched-sample DID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42B31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proc_share</w:t>
            </w:r>
          </w:p>
        </w:tc>
        <w:tc>
          <w:tcPr>
            <w:tcW w:w="37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97A67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0.3104 / p=0.3739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10938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与主结论不一致，审慎补充</w:t>
            </w:r>
          </w:p>
        </w:tc>
      </w:tr>
      <w:tr w14:paraId="39F35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1CD34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matched-sample DID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2744A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ppp_quality_zindex</w:t>
            </w:r>
          </w:p>
        </w:tc>
        <w:tc>
          <w:tcPr>
            <w:tcW w:w="37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BB382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-2.6389*** / p=0.0000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2AE68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共同支持有限，不宜作为主证据</w:t>
            </w:r>
          </w:p>
        </w:tc>
      </w:tr>
      <w:tr w14:paraId="24D0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1BB97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IV feasibility（最佳候选）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5CAB7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digital_econ</w:t>
            </w:r>
          </w:p>
        </w:tc>
        <w:tc>
          <w:tcPr>
            <w:tcW w:w="37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264EB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第一阶段 t=1.5149，p=0.1298，recommended_as_iv=No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437DC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无合格IV</w:t>
            </w:r>
          </w:p>
        </w:tc>
      </w:tr>
      <w:tr w14:paraId="14494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E5BE7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IV feasibility（其他候选）</w:t>
            </w:r>
          </w:p>
        </w:tc>
        <w:tc>
          <w:tcPr>
            <w:tcW w:w="165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D3709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dfi、ln_patent_grants 等</w:t>
            </w:r>
          </w:p>
        </w:tc>
        <w:tc>
          <w:tcPr>
            <w:tcW w:w="374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4BCC0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均为 Weak/None，recommended_as_iv=No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0FE02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不实施正式IV</w:t>
            </w:r>
          </w:p>
        </w:tc>
      </w:tr>
    </w:tbl>
    <w:p w14:paraId="53B87A20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3"/>
        </w:rPr>
        <w:t>Panel C DML 高维稳健性检验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1776"/>
        <w:gridCol w:w="1776"/>
        <w:gridCol w:w="1776"/>
        <w:gridCol w:w="1776"/>
      </w:tblGrid>
      <w:tr w14:paraId="6C114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E8775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结果变量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1F70E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baseline TWFE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F1439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DML 系数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70C12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DML p值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B203B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方向是否一致</w:t>
            </w:r>
          </w:p>
        </w:tc>
        <w:tc>
          <w:tcPr>
            <w:tcW w:w="33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B3C79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当前判读</w:t>
            </w:r>
          </w:p>
        </w:tc>
      </w:tr>
      <w:tr w14:paraId="0086E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EAE98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exec_share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5BF24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0.3556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18379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0.1730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06359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0.2002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16F4E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是</w:t>
            </w:r>
          </w:p>
        </w:tc>
        <w:tc>
          <w:tcPr>
            <w:tcW w:w="33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92FFA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高维控制下方向一致，但显著性有限</w:t>
            </w:r>
          </w:p>
        </w:tc>
      </w:tr>
      <w:tr w14:paraId="6F0A1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7920E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proc_share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4FC57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-0.4023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CE453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-0.1656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529E3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0.2124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67303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是</w:t>
            </w:r>
          </w:p>
        </w:tc>
        <w:tc>
          <w:tcPr>
            <w:tcW w:w="33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19CA7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高维控制下方向一致，但显著性有限</w:t>
            </w:r>
          </w:p>
        </w:tc>
      </w:tr>
      <w:tr w14:paraId="7722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58774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ppp_quality_zindex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E66B6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0.5253</w:t>
            </w:r>
          </w:p>
        </w:tc>
        <w:tc>
          <w:tcPr>
            <w:tcW w:w="144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75BB3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0.3129</w:t>
            </w:r>
          </w:p>
        </w:tc>
        <w:tc>
          <w:tcPr>
            <w:tcW w:w="115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0397C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0.1043</w:t>
            </w:r>
          </w:p>
        </w:tc>
        <w:tc>
          <w:tcPr>
            <w:tcW w:w="129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86FCE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是</w:t>
            </w:r>
          </w:p>
        </w:tc>
        <w:tc>
          <w:tcPr>
            <w:tcW w:w="331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EEFFC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存在补充性正向信号，但不替代主识别</w:t>
            </w:r>
          </w:p>
        </w:tc>
      </w:tr>
    </w:tbl>
    <w:p w14:paraId="5EE83C43">
      <w:pPr>
        <w:spacing w:before="40" w:after="160" w:line="240" w:lineRule="auto"/>
        <w:jc w:val="left"/>
      </w:pPr>
      <w:r>
        <w:rPr>
          <w:rFonts w:ascii="Noto Serif CJK SC" w:hAnsi="Noto Serif CJK SC" w:eastAsia="Noto Serif CJK SC"/>
          <w:b w:val="0"/>
          <w:sz w:val="16"/>
        </w:rPr>
        <w:t>注：Panel A 报告常规稳健性；Panel B 报告替代处理变量、matched-sample DID 与 IV 可行性评估；Panel C 报告 DML 高维稳健性检验。正文写作时不得将 matched-sample DID 替代主识别，不得将 IV 可行性评估写成正式 IV 识别，也不得将 DML 写成比 DID/TWFE 更核心的结果。数据来源：作者根据 PPP_第8部分相关正式文件整理。</w:t>
      </w:r>
    </w:p>
    <w:p w14:paraId="5E6DE331">
      <w:pPr>
        <w:spacing w:before="160" w:after="80" w:line="240" w:lineRule="auto"/>
        <w:jc w:val="left"/>
      </w:pPr>
      <w:r>
        <w:rPr>
          <w:rFonts w:ascii="Noto Serif CJK SC" w:hAnsi="Noto Serif CJK SC" w:eastAsia="Noto Serif CJK SC"/>
          <w:b/>
          <w:sz w:val="26"/>
        </w:rPr>
        <w:t>表8 项目级高低风险识别：六模型预测绩效比较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14:paraId="098C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AAAA2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模型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AB5DD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AUC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E3ADF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AP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454EA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F1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E7692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Precision</w:t>
            </w:r>
          </w:p>
        </w:tc>
        <w:tc>
          <w:tcPr>
            <w:tcW w:w="10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365B3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Recall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DC1FD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Accuracy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66C61A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15"/>
              </w:rPr>
              <w:t>当前判读</w:t>
            </w:r>
          </w:p>
        </w:tc>
      </w:tr>
      <w:tr w14:paraId="03842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48CCC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Blending (RF+XGB+LGBM+CATB)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FF873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0.8593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37B3C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0.6914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BB18B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0.5301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D4BF4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0.7974</w:t>
            </w:r>
          </w:p>
        </w:tc>
        <w:tc>
          <w:tcPr>
            <w:tcW w:w="10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9BB7C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0.3970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1D617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0.8688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46325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AUC 略优，但不是压倒性领先</w:t>
            </w:r>
          </w:p>
        </w:tc>
      </w:tr>
      <w:tr w14:paraId="71B28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B332B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XGBoost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B89ED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0.8589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3360C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0.6895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FC80EB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0.5617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11B9A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0.7638</w:t>
            </w:r>
          </w:p>
        </w:tc>
        <w:tc>
          <w:tcPr>
            <w:tcW w:w="10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F0031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0.4442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9FAEF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0.8708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87E1D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综合表现稳定</w:t>
            </w:r>
          </w:p>
        </w:tc>
      </w:tr>
      <w:tr w14:paraId="71A39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D4AA1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CatBoost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8C777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0.8557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88BB3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0.6910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08A80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0.5595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56B93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0.7555</w:t>
            </w:r>
          </w:p>
        </w:tc>
        <w:tc>
          <w:tcPr>
            <w:tcW w:w="10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0D864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0.4442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1CD3E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0.8696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24BC4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综合表现稳定</w:t>
            </w:r>
          </w:p>
        </w:tc>
      </w:tr>
      <w:tr w14:paraId="0AF99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24BED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Logistic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8C170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0.8537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10DA4D1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0.6515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45D11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0.5840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AD7AD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0.4831</w:t>
            </w:r>
          </w:p>
        </w:tc>
        <w:tc>
          <w:tcPr>
            <w:tcW w:w="10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6508F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0.7382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3947C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0.8040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F6AED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召回率最高、可解释性最强</w:t>
            </w:r>
          </w:p>
        </w:tc>
      </w:tr>
      <w:tr w14:paraId="05DC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C8CCD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LightGBM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E0764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0.8519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734A8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0.6769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5F68E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0.5483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CFB7C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0.7163</w:t>
            </w:r>
          </w:p>
        </w:tc>
        <w:tc>
          <w:tcPr>
            <w:tcW w:w="10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F7CFC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0.4442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299D8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0.8636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79165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综合表现稳定</w:t>
            </w:r>
          </w:p>
        </w:tc>
      </w:tr>
      <w:tr w14:paraId="7F7B1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644CB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RandomForest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CF6F4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0.8311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69ECE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0.6386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F26FF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0.1857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38B69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0.9412</w:t>
            </w:r>
          </w:p>
        </w:tc>
        <w:tc>
          <w:tcPr>
            <w:tcW w:w="10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F78D5E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0.1030</w:t>
            </w: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9BF9A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0.8316</w:t>
            </w: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01DE5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Precision 很高但 Recall 过低，偏保守</w:t>
            </w:r>
          </w:p>
        </w:tc>
      </w:tr>
      <w:tr w14:paraId="52EDA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B52168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测试集规模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68B8F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2500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CE245B">
            <w:pPr>
              <w:spacing w:before="0" w:after="0" w:line="240" w:lineRule="auto"/>
              <w:jc w:val="center"/>
            </w:pP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E4F445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82A98E">
            <w:pPr>
              <w:spacing w:before="0" w:after="0" w:line="240" w:lineRule="auto"/>
              <w:jc w:val="center"/>
            </w:pPr>
          </w:p>
        </w:tc>
        <w:tc>
          <w:tcPr>
            <w:tcW w:w="10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092BEB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4D2082">
            <w:pPr>
              <w:spacing w:before="0" w:after="0" w:line="240" w:lineRule="auto"/>
              <w:jc w:val="center"/>
            </w:pP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8BB7A3">
            <w:pPr>
              <w:spacing w:before="0" w:after="0" w:line="240" w:lineRule="auto"/>
              <w:jc w:val="center"/>
            </w:pPr>
          </w:p>
        </w:tc>
      </w:tr>
      <w:tr w14:paraId="2992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7052EC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训练集规模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3D33C7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7500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699E3C">
            <w:pPr>
              <w:spacing w:before="0" w:after="0" w:line="240" w:lineRule="auto"/>
              <w:jc w:val="center"/>
            </w:pP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C1E1C9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62D805">
            <w:pPr>
              <w:spacing w:before="0" w:after="0" w:line="240" w:lineRule="auto"/>
              <w:jc w:val="center"/>
            </w:pPr>
          </w:p>
        </w:tc>
        <w:tc>
          <w:tcPr>
            <w:tcW w:w="10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CDF9A4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C76A93">
            <w:pPr>
              <w:spacing w:before="0" w:after="0" w:line="240" w:lineRule="auto"/>
              <w:jc w:val="center"/>
            </w:pP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357721">
            <w:pPr>
              <w:spacing w:before="0" w:after="0" w:line="240" w:lineRule="auto"/>
              <w:jc w:val="center"/>
            </w:pPr>
          </w:p>
        </w:tc>
      </w:tr>
      <w:tr w14:paraId="0E8E6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11FE23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测试集正例比例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E1F094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0.1864</w:t>
            </w: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610444">
            <w:pPr>
              <w:spacing w:before="0" w:after="0" w:line="240" w:lineRule="auto"/>
              <w:jc w:val="center"/>
            </w:pPr>
          </w:p>
        </w:tc>
        <w:tc>
          <w:tcPr>
            <w:tcW w:w="86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270F51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A05D9C">
            <w:pPr>
              <w:spacing w:before="0" w:after="0" w:line="240" w:lineRule="auto"/>
              <w:jc w:val="center"/>
            </w:pPr>
          </w:p>
        </w:tc>
        <w:tc>
          <w:tcPr>
            <w:tcW w:w="100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E46622B">
            <w:pPr>
              <w:spacing w:before="0" w:after="0" w:line="240" w:lineRule="auto"/>
              <w:jc w:val="center"/>
            </w:pPr>
          </w:p>
        </w:tc>
        <w:tc>
          <w:tcPr>
            <w:tcW w:w="10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C163851">
            <w:pPr>
              <w:spacing w:before="0" w:after="0" w:line="240" w:lineRule="auto"/>
              <w:jc w:val="center"/>
            </w:pPr>
          </w:p>
        </w:tc>
        <w:tc>
          <w:tcPr>
            <w:tcW w:w="223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8E3295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5"/>
              </w:rPr>
              <w:t>结构性不平衡分类任务</w:t>
            </w:r>
          </w:p>
        </w:tc>
      </w:tr>
    </w:tbl>
    <w:p w14:paraId="34A7CD3D">
      <w:pPr>
        <w:spacing w:before="40" w:after="160" w:line="240" w:lineRule="auto"/>
        <w:jc w:val="left"/>
      </w:pPr>
      <w:r>
        <w:rPr>
          <w:rFonts w:ascii="Noto Serif CJK SC" w:hAnsi="Noto Serif CJK SC" w:eastAsia="Noto Serif CJK SC"/>
          <w:b w:val="0"/>
          <w:sz w:val="16"/>
        </w:rPr>
        <w:t>注：本表基于无标签泄漏版正式风险底表，评价指标联合采用 AUC、AP、F1、Precision、Recall 和 Accuracy。第9部分属于项目级高/低风险排序与识别任务，而非对全部 PPP 项目进行全口径风险评级。Blending 仅略优，不宜夸写为压倒性最优；Logistic 的较高召回率意味着其在“尽量少漏识别高风险项目”的场景下具有较强实务意义。数据来源：作者根据 PPP_第9部分_严格版_6模型综合对比.xlsx、PPP_第9部分_严格版_6模型指标汇总.csv 和 PPP_project_level_risk_model_data_v3_无泄漏严格版_标签统一_20260413_1048.xlsx 整理。</w:t>
      </w:r>
    </w:p>
    <w:sectPr>
      <w:pgSz w:w="11906" w:h="16838"/>
      <w:pgMar w:top="624" w:right="624" w:bottom="624" w:left="6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EB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2856</Words>
  <Characters>4963</Characters>
  <Lines>0</Lines>
  <Paragraphs>0</Paragraphs>
  <TotalTime>44</TotalTime>
  <ScaleCrop>false</ScaleCrop>
  <LinksUpToDate>false</LinksUpToDate>
  <CharactersWithSpaces>5115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朱健齐金融STU</cp:lastModifiedBy>
  <dcterms:modified xsi:type="dcterms:W3CDTF">2026-04-14T15:08:26Z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eyJoZGlkIjoiNjdmMjc5MTM3ZGU2MzYwNzc2NmY5ZjMzMzNmYTc5NjciLCJ1c2VySWQiOiI1NDQyNTk4OTEifQ==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8F28276F8F1F4486A571C9172DF8E512_12</vt:lpwstr>
  </property>
</Properties>
</file>