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Microsoft YaHei"/>
          <w:b/>
          <w:color w:val="1F3756"/>
          <w:sz w:val="36"/>
        </w:rPr>
        <w:t>PPP论文正文统一口径说明、变量定义表</w:t>
        <w:br/>
        <w:t>与第3—第5部分写作骨架</w:t>
      </w:r>
    </w:p>
    <w:p>
      <w:pPr>
        <w:spacing w:after="240"/>
        <w:jc w:val="center"/>
      </w:pPr>
      <w:r>
        <w:rPr>
          <w:rFonts w:ascii="Arial" w:hAnsi="Arial" w:eastAsia="Microsoft YaHei"/>
          <w:i/>
          <w:sz w:val="21"/>
        </w:rPr>
        <w:t>基于当前修正版归档的写作工作文件（2026-04-12）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632"/>
            <w:shd w:fill="EEF3F8"/>
            <w:vAlign w:val="center"/>
          </w:tcPr>
          <w:p>
            <w:pPr>
              <w:spacing w:before="80" w:after="80" w:line="288" w:lineRule="auto"/>
            </w:pPr>
            <w:r>
              <w:rPr>
                <w:rFonts w:ascii="Arial" w:hAnsi="Arial" w:eastAsia="Microsoft YaHei"/>
                <w:sz w:val="21"/>
              </w:rPr>
              <w:t>用途：本文件用于统一正文写作口径、变量解释与章节组织，优先解决“旧交接口径—当前主结果—作图输入”之间的冲突。凡与本文件冲突的旧版表述、旧版作图输入或疑似中间版结果，均不得继续作为正文主依据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120" w:after="120" w:line="300" w:lineRule="auto"/>
      </w:pPr>
      <w:r>
        <w:rPr>
          <w:b w:val="0"/>
        </w:rPr>
        <w:t>一、正文统一口径说明</w:t>
      </w:r>
    </w:p>
    <w:p>
      <w:pPr>
        <w:pStyle w:val="ListBullet"/>
        <w:spacing w:after="60" w:line="288" w:lineRule="auto"/>
      </w:pPr>
      <w:r>
        <w:t>文本主题体系：正文统一采用“4个一级主题 + 12个二级主题 + 24个机器主题”的四级十二类重建版。第3、4部分旧作图输入中的10主题口径不再作为正文主依据，只能保留为探索期备份。</w:t>
      </w:r>
    </w:p>
    <w:p>
      <w:pPr>
        <w:pStyle w:val="ListBullet"/>
        <w:spacing w:after="60" w:line="288" w:lineRule="auto"/>
      </w:pPr>
      <w:r>
        <w:t>文本维度体系：统一采用 A（数字治理接口与数据协同）、B（项目识别与前端规范准入）、C（采购交易、合同安排与执行绩效）、D（风险防控、监督纠偏与退出约束）。其中 D 维度保留进入变量说明与机制讨论，但叙事位置应弱于 A/B/C。</w:t>
      </w:r>
    </w:p>
    <w:p>
      <w:pPr>
        <w:pStyle w:val="ListBullet"/>
        <w:spacing w:after="60" w:line="288" w:lineRule="auto"/>
      </w:pPr>
      <w:r>
        <w:t>面板层级：正文主实证统一写为省—年面板。文档级结果仅服务于第3部分方法与第4部分变量构造，不直接进入第5部分 DID/TWFE 主识别。</w:t>
      </w:r>
    </w:p>
    <w:p>
      <w:pPr>
        <w:pStyle w:val="ListBullet"/>
        <w:spacing w:after="60" w:line="288" w:lineRule="auto"/>
      </w:pPr>
      <w:r>
        <w:t>主模型：全文主模型固定为多期 DID / TWFE。BERTopic、监督分类增强、第9部分项目级分类均属于前端变量工程或扩展模块，不能与主模型并列争夺论文主位。</w:t>
      </w:r>
    </w:p>
    <w:p>
      <w:pPr>
        <w:pStyle w:val="ListBullet"/>
        <w:spacing w:after="60" w:line="288" w:lineRule="auto"/>
      </w:pPr>
      <w:r>
        <w:t>处理变量：正文主规格统一采用 treat_share；did_any 与 did_intensity 只在稳健性或替代处理变量检验中出现。现已可写成精确定义：treat_share_{pt}=(1/N_pt)×Σ_i treat_i；did_intensity_{pt}=(1/N_pt)×Σ_i DID_it=post_t×treat_share_{pt}；did_any_{pt}=1(did_intensity_{pt}&gt;0)。</w:t>
      </w:r>
    </w:p>
    <w:p>
      <w:pPr>
        <w:pStyle w:val="ListBullet"/>
        <w:spacing w:after="60" w:line="288" w:lineRule="auto"/>
      </w:pPr>
      <w:r>
        <w:t>主结论：正文主结论统一写为“政务服务数字化改革首先改善 PPP 推进结构”，具体表现为 exec_share 上升、proc_share 下降。不得将“全面提升全部治理质量指标”写成主结论。</w:t>
      </w:r>
    </w:p>
    <w:p>
      <w:pPr>
        <w:pStyle w:val="ListBullet"/>
        <w:spacing w:after="60" w:line="288" w:lineRule="auto"/>
      </w:pPr>
      <w:r>
        <w:t>事件研究：只作为动态展示与识别边界说明，不得写成“平行趋势已经成立”的强证据；正文应明确其用于展示动态路径，而非替代主识别。</w:t>
      </w:r>
    </w:p>
    <w:p>
      <w:pPr>
        <w:pStyle w:val="ListBullet"/>
        <w:spacing w:after="60" w:line="288" w:lineRule="auto"/>
      </w:pPr>
      <w:r>
        <w:t>PCA治理质量指标：当前仅可作为待补强或附录结果处理。若要写入正文主结果，必须先补齐统一方向的最终版重建指标与正式回归表；在此之前，正文主结果不以 PCA 为核心支撑。</w:t>
      </w:r>
    </w:p>
    <w:p>
      <w:pPr>
        <w:pStyle w:val="ListBullet"/>
        <w:spacing w:after="60" w:line="288" w:lineRule="auto"/>
      </w:pPr>
      <w:r>
        <w:t>第9部分：只采用无标签泄漏版结果。风险文本、文本长度等变量只能作为特征，不得再次进入标签定义；同时应将其界定为项目级风险排序/识别任务，而非制度治理替代。</w:t>
      </w:r>
    </w:p>
    <w:p>
      <w:pPr>
        <w:pStyle w:val="Heading1"/>
        <w:spacing w:before="200" w:after="120" w:line="300" w:lineRule="auto"/>
      </w:pPr>
      <w:r>
        <w:rPr>
          <w:b w:val="0"/>
        </w:rPr>
        <w:t>二、核心变量定义表（正文可直接嵌入）</w:t>
      </w:r>
    </w:p>
    <w:p>
      <w:pPr>
        <w:spacing w:before="0" w:after="120" w:line="300" w:lineRule="auto"/>
      </w:pPr>
      <w:r>
        <w:rPr>
          <w:b w:val="0"/>
        </w:rPr>
        <w:t>说明：以下定义遵循“当前可被归档结果安全支持”的原则。对于归档尚未单独给出精确定义公式的变量，本表只写到当前可确认的层级、用途与解释边界，不伪造不可证实的数学形式。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1191"/>
        <w:gridCol w:w="4082"/>
        <w:gridCol w:w="1701"/>
      </w:tblGrid>
      <w:tr>
        <w:trPr>
          <w:tblHeader w:val="true"/>
        </w:trPr>
        <w:tc>
          <w:tcPr>
            <w:tcW w:type="dxa" w:w="1926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变量名</w:t>
            </w:r>
          </w:p>
        </w:tc>
        <w:tc>
          <w:tcPr>
            <w:tcW w:type="dxa" w:w="1926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变量类型</w:t>
            </w:r>
          </w:p>
        </w:tc>
        <w:tc>
          <w:tcPr>
            <w:tcW w:type="dxa" w:w="1926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1926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正文定义（推荐写法）</w:t>
            </w:r>
          </w:p>
        </w:tc>
        <w:tc>
          <w:tcPr>
            <w:tcW w:type="dxa" w:w="1926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建议出现位置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treat_share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处理变量（主规格）</w:t>
            </w:r>
          </w:p>
        </w:tc>
        <w:tc>
          <w:tcPr>
            <w:tcW w:type="dxa" w:w="1191"/>
            <w:vAlign w:val="center"/>
          </w:tcPr>
          <w:p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省内试点城市覆盖比例型处理变量。精确写法：treat_share_{pt}=(1/N_pt)×Σ_i treat_i，其中 i 为省 p 在年份 t 的城市样本。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第5部分主回归；第8部分替代规格对照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did_any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处理变量（替代）</w:t>
            </w:r>
          </w:p>
        </w:tc>
        <w:tc>
          <w:tcPr>
            <w:tcW w:type="dxa" w:w="1191"/>
            <w:vAlign w:val="center"/>
          </w:tcPr>
          <w:p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二元处理指示变量。精确写法：did_any_{pt}=1(did_intensity_{pt}&gt;0)=1(Σ_i DID_it&gt;0)。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第8部分替代处理变量稳健性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did_intensity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处理变量（替代）</w:t>
            </w:r>
          </w:p>
        </w:tc>
        <w:tc>
          <w:tcPr>
            <w:tcW w:type="dxa" w:w="1191"/>
            <w:vAlign w:val="center"/>
          </w:tcPr>
          <w:p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强度型处理变量。精确写法：did_intensity_{pt}=(1/N_pt)×Σ_i DID_it=post_t×treat_share_{pt}，其中 post_t 在 2016 年及之后取 1。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第8部分替代处理变量稳健性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exec_share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核心结果变量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PPP项目处于执行阶段的占比。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第5部分主结果；第7、8部分延伸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proc_share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核心结果变量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PPP项目处于采购阶段的占比。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第5部分主结果；第7、8部分延伸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prep_share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辅助结果变量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PPP项目处于准备阶段的占比。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第5部分辅助结果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ppp_quality_zindex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综合质量结果变量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治理质量的标准化综合指数口径；当前结果不稳，不宜作为主结论。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第5部分辅助结果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ppp_quality_pca_rebuilt_fixed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待补强综合质量指标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固定方向重建后的 PCA 版治理质量指标。当前若未补齐最终版正式主表，仅宜放入附录或待补说明。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附录/待补强结果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A_idx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一级文本指数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文档/省—年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数字治理接口与数据协同综合强度。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第4部分变量构造；第6部分机制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B_idx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一级文本指数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文档/省—年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项目识别与前端规范准入综合强度。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第4部分变量构造；第6部分机制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C_idx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一级文本指数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文档/省—年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采购交易、合同安排与执行绩效综合强度。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第4部分变量构造；第6部分机制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D_idx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一级文本指数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文档/省—年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风险防控、监督纠偏与退出约束综合强度。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第4部分变量构造；第6、7部分补充讨论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topic_0_share ~ topic_23_share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机器主题占比变量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24个机器主题在省—年层面的文本占比。正文可择要展示，完整表宜放附录。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第4部分变量构造；附录展示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ppp_governance_capacity_index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综合文本指数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由 A/B/C 相关一级文本指数标准化组合形成的治理能力综合指标。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第4部分变量构造；机制补充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ppp_norm_risk_index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综合文本指数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由规范治理与风险治理相关文本指数标准化组合形成的综合指标。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第4部分变量构造；机制补充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risk_struct_clean</w:t>
            </w:r>
          </w:p>
        </w:tc>
        <w:tc>
          <w:tcPr>
            <w:tcW w:type="dxa" w:w="1587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项目级标签</w:t>
            </w:r>
          </w:p>
        </w:tc>
        <w:tc>
          <w:tcPr>
            <w:tcW w:type="dxa" w:w="119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项目级</w:t>
            </w:r>
          </w:p>
        </w:tc>
        <w:tc>
          <w:tcPr>
            <w:tcW w:type="dxa" w:w="4082"/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sz w:val="20"/>
              </w:rPr>
              <w:t>无标签泄漏版风险标签，仅由项目所处阶段与制度性通过结果构造。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sz w:val="20"/>
              </w:rPr>
              <w:t>第9部分项目级风险识别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text_missing_dummy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缺位虚拟变量</w:t>
            </w:r>
          </w:p>
        </w:tc>
        <w:tc>
          <w:tcPr>
            <w:tcW w:type="dxa" w:w="1191"/>
            <w:vAlign w:val="center"/>
          </w:tcPr>
          <w:p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当年该省未观测到 PPP 政策文本时取1，否则取0。用于显式区分“无文本覆盖”与“文本中相关内容为零”。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第4部分变量说明；第8部分稳健性或附录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text_observed_dummy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可观测虚拟变量</w:t>
            </w:r>
          </w:p>
        </w:tc>
        <w:tc>
          <w:tcPr>
            <w:tcW w:type="dxa" w:w="1191"/>
            <w:vAlign w:val="center"/>
          </w:tcPr>
          <w:p>
            <w:r>
              <w:rPr>
                <w:sz w:val="20"/>
              </w:rPr>
              <w:t>省—年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当年该省观测到至少1份 PPP 政策文本时取1，否则取0，与 text_missing_dummy 互补。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附录或附加稳健性</w:t>
            </w:r>
          </w:p>
        </w:tc>
      </w:tr>
    </w:tbl>
    <w:p>
      <w:pPr>
        <w:pStyle w:val="Heading2"/>
      </w:pPr>
      <w:r>
        <w:rPr>
          <w:b/>
        </w:rPr>
        <w:t>处理变量定义补充表（v3）</w:t>
      </w:r>
    </w:p>
    <w:p>
      <w:pPr>
        <w:spacing w:before="120" w:after="120" w:line="300" w:lineRule="auto"/>
      </w:pPr>
      <w:r>
        <w:rPr>
          <w:b w:val="0"/>
        </w:rPr>
        <w:t>正文写法提示：变量定义表可以直接放在“第4部分 数据与变量说明”末尾，或“第5部分 实证设计”开头。若篇幅受限，正文保留处理变量、核心结果变量与一级文本指数，二级指数与24主题占比表放入附录。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r>
              <w:t>变量</w:t>
            </w:r>
          </w:p>
        </w:tc>
        <w:tc>
          <w:tcPr>
            <w:tcW w:type="dxa" w:w="1926"/>
          </w:tcPr>
          <w:p>
            <w:r>
              <w:t>数据来源</w:t>
            </w:r>
          </w:p>
        </w:tc>
        <w:tc>
          <w:tcPr>
            <w:tcW w:type="dxa" w:w="1926"/>
          </w:tcPr>
          <w:p>
            <w:r>
              <w:t>聚合单元</w:t>
            </w:r>
          </w:p>
        </w:tc>
        <w:tc>
          <w:tcPr>
            <w:tcW w:type="dxa" w:w="1926"/>
          </w:tcPr>
          <w:p>
            <w:r>
              <w:t>精确定义</w:t>
            </w:r>
          </w:p>
        </w:tc>
        <w:tc>
          <w:tcPr>
            <w:tcW w:type="dxa" w:w="1926"/>
          </w:tcPr>
          <w:p>
            <w:r>
              <w:t>正文写法边界</w:t>
            </w:r>
          </w:p>
        </w:tc>
      </w:tr>
      <w:tr>
        <w:tc>
          <w:tcPr>
            <w:tcW w:type="dxa" w:w="1926"/>
          </w:tcPr>
          <w:p>
            <w:r>
              <w:t>post_t</w:t>
            </w:r>
          </w:p>
        </w:tc>
        <w:tc>
          <w:tcPr>
            <w:tcW w:type="dxa" w:w="1926"/>
          </w:tcPr>
          <w:p>
            <w:r>
              <w:t>08_GovService_DID</w:t>
            </w:r>
          </w:p>
        </w:tc>
        <w:tc>
          <w:tcPr>
            <w:tcW w:type="dxa" w:w="1926"/>
          </w:tcPr>
          <w:p>
            <w:r>
              <w:t>省—年公共时间</w:t>
            </w:r>
          </w:p>
        </w:tc>
        <w:tc>
          <w:tcPr>
            <w:tcW w:type="dxa" w:w="1926"/>
          </w:tcPr>
          <w:p>
            <w:r>
              <w:t>1[t&gt;=2016]</w:t>
            </w:r>
          </w:p>
        </w:tc>
        <w:tc>
          <w:tcPr>
            <w:tcW w:type="dxa" w:w="1926"/>
          </w:tcPr>
          <w:p>
            <w:r>
              <w:t>必须写明2016为统一启动点依据</w:t>
            </w:r>
          </w:p>
        </w:tc>
      </w:tr>
      <w:tr>
        <w:tc>
          <w:tcPr>
            <w:tcW w:type="dxa" w:w="1926"/>
          </w:tcPr>
          <w:p>
            <w:r>
              <w:t>treat_share_{pt}</w:t>
            </w:r>
          </w:p>
        </w:tc>
        <w:tc>
          <w:tcPr>
            <w:tcW w:type="dxa" w:w="1926"/>
          </w:tcPr>
          <w:p>
            <w:r>
              <w:t>08_GovService_DID</w:t>
            </w:r>
          </w:p>
        </w:tc>
        <w:tc>
          <w:tcPr>
            <w:tcW w:type="dxa" w:w="1926"/>
          </w:tcPr>
          <w:p>
            <w:r>
              <w:t>省—年</w:t>
            </w:r>
          </w:p>
        </w:tc>
        <w:tc>
          <w:tcPr>
            <w:tcW w:type="dxa" w:w="1926"/>
          </w:tcPr>
          <w:p>
            <w:r>
              <w:t>(1/N_pt) × Σ_i treat_i</w:t>
            </w:r>
          </w:p>
        </w:tc>
        <w:tc>
          <w:tcPr>
            <w:tcW w:type="dxa" w:w="1926"/>
          </w:tcPr>
          <w:p>
            <w:r>
              <w:t>主规格；连续强度更稳定</w:t>
            </w:r>
          </w:p>
        </w:tc>
      </w:tr>
      <w:tr>
        <w:tc>
          <w:tcPr>
            <w:tcW w:type="dxa" w:w="1926"/>
          </w:tcPr>
          <w:p>
            <w:r>
              <w:t>did_intensity_{pt}</w:t>
            </w:r>
          </w:p>
        </w:tc>
        <w:tc>
          <w:tcPr>
            <w:tcW w:type="dxa" w:w="1926"/>
          </w:tcPr>
          <w:p>
            <w:r>
              <w:t>08_GovService_DID</w:t>
            </w:r>
          </w:p>
        </w:tc>
        <w:tc>
          <w:tcPr>
            <w:tcW w:type="dxa" w:w="1926"/>
          </w:tcPr>
          <w:p>
            <w:r>
              <w:t>省—年</w:t>
            </w:r>
          </w:p>
        </w:tc>
        <w:tc>
          <w:tcPr>
            <w:tcW w:type="dxa" w:w="1926"/>
          </w:tcPr>
          <w:p>
            <w:r>
              <w:t>(1/N_pt) × Σ_i DID_it = post_t × treat_share_{pt}</w:t>
            </w:r>
          </w:p>
        </w:tc>
        <w:tc>
          <w:tcPr>
            <w:tcW w:type="dxa" w:w="1926"/>
          </w:tcPr>
          <w:p>
            <w:r>
              <w:t>替代处理变量</w:t>
            </w:r>
          </w:p>
        </w:tc>
      </w:tr>
      <w:tr>
        <w:tc>
          <w:tcPr>
            <w:tcW w:type="dxa" w:w="1926"/>
          </w:tcPr>
          <w:p>
            <w:r>
              <w:t>did_any_{pt}</w:t>
            </w:r>
          </w:p>
        </w:tc>
        <w:tc>
          <w:tcPr>
            <w:tcW w:type="dxa" w:w="1926"/>
          </w:tcPr>
          <w:p>
            <w:r>
              <w:t>08_GovService_DID</w:t>
            </w:r>
          </w:p>
        </w:tc>
        <w:tc>
          <w:tcPr>
            <w:tcW w:type="dxa" w:w="1926"/>
          </w:tcPr>
          <w:p>
            <w:r>
              <w:t>省—年</w:t>
            </w:r>
          </w:p>
        </w:tc>
        <w:tc>
          <w:tcPr>
            <w:tcW w:type="dxa" w:w="1926"/>
          </w:tcPr>
          <w:p>
            <w:r>
              <w:t>1(did_intensity_{pt} &gt; 0)</w:t>
            </w:r>
          </w:p>
        </w:tc>
        <w:tc>
          <w:tcPr>
            <w:tcW w:type="dxa" w:w="1926"/>
          </w:tcPr>
          <w:p>
            <w:r>
              <w:t>替代处理变量</w:t>
            </w:r>
          </w:p>
        </w:tc>
      </w:tr>
      <w:tr>
        <w:tc>
          <w:tcPr>
            <w:tcW w:type="dxa" w:w="1926"/>
          </w:tcPr>
          <w:p>
            <w:r>
              <w:t>text_missing</w:t>
            </w:r>
          </w:p>
        </w:tc>
        <w:tc>
          <w:tcPr>
            <w:tcW w:type="dxa" w:w="1926"/>
          </w:tcPr>
          <w:p>
            <w:r>
              <w:t>model_ready_panel</w:t>
            </w:r>
          </w:p>
        </w:tc>
        <w:tc>
          <w:tcPr>
            <w:tcW w:type="dxa" w:w="1926"/>
          </w:tcPr>
          <w:p>
            <w:r>
              <w:t>省—年</w:t>
            </w:r>
          </w:p>
        </w:tc>
        <w:tc>
          <w:tcPr>
            <w:tcW w:type="dxa" w:w="1926"/>
          </w:tcPr>
          <w:p>
            <w:r>
              <w:t>1(doc_count==0)</w:t>
            </w:r>
          </w:p>
        </w:tc>
        <w:tc>
          <w:tcPr>
            <w:tcW w:type="dxa" w:w="1926"/>
          </w:tcPr>
          <w:p>
            <w:r>
              <w:t>用于控制表达缺位结构性差异</w:t>
            </w:r>
          </w:p>
        </w:tc>
      </w:tr>
    </w:tbl>
    <w:p>
      <w:pPr>
        <w:pStyle w:val="Heading1"/>
        <w:spacing w:before="200" w:after="120" w:line="300" w:lineRule="auto"/>
      </w:pPr>
      <w:r>
        <w:rPr>
          <w:b w:val="0"/>
        </w:rPr>
        <w:t>三、第3—第5部分写作骨架（按正文顺序）</w:t>
      </w:r>
    </w:p>
    <w:p>
      <w:pPr>
        <w:pStyle w:val="Heading2"/>
        <w:spacing w:before="120" w:after="80" w:line="300" w:lineRule="auto"/>
      </w:pPr>
      <w:r>
        <w:rPr>
          <w:b w:val="0"/>
        </w:rPr>
        <w:t>第3部分 文本分析总设计</w:t>
      </w:r>
    </w:p>
    <w:p>
      <w:pPr>
        <w:spacing w:after="80"/>
      </w:pPr>
      <w:r>
        <w:rPr>
          <w:b/>
        </w:rPr>
        <w:t>本节定位：</w:t>
      </w:r>
      <w:r>
        <w:t>本部分的目标不是展示“做了很多模型”，而是说明政策文本如何被系统处理、如何转化为后续变量工程的前端基础。</w:t>
      </w:r>
    </w:p>
    <w:p>
      <w:pPr>
        <w:pStyle w:val="ListNumber"/>
        <w:spacing w:after="40" w:line="276" w:lineRule="auto"/>
      </w:pPr>
      <w:r>
        <w:t>3.1 语料来源与整理范围：写清时间范围、文本数量、中央与地方来源、原始噪声类型、清洗原则。</w:t>
      </w:r>
    </w:p>
    <w:p>
      <w:pPr>
        <w:pStyle w:val="ListNumber"/>
        <w:spacing w:after="40" w:line="276" w:lineRule="auto"/>
      </w:pPr>
      <w:r>
        <w:t>3.2 质性内容分析与人工框架建模：由真实PPP政策文本出发，构建 A/B/C/D 一级维度及 12 个二级维度，为后续词典、扩词与主题映射提供解释框架。</w:t>
      </w:r>
    </w:p>
    <w:p>
      <w:pPr>
        <w:pStyle w:val="ListNumber"/>
        <w:spacing w:after="40" w:line="276" w:lineRule="auto"/>
      </w:pPr>
      <w:r>
        <w:t>3.3 词典法与Word2Vec扩词：说明为何不能依赖通用词典，如何由领域种子词扩展到制度表达变体，并形成正式词表。</w:t>
      </w:r>
    </w:p>
    <w:p>
      <w:pPr>
        <w:pStyle w:val="ListNumber"/>
        <w:spacing w:after="40" w:line="276" w:lineRule="auto"/>
      </w:pPr>
      <w:r>
        <w:t>3.4 BERTopic主题识别与映射：说明模型原始识别为24个机器主题，再映射到四级十二类体系；正文展示应择要，完整主题表放附录。</w:t>
      </w:r>
    </w:p>
    <w:p>
      <w:pPr>
        <w:pStyle w:val="ListNumber"/>
        <w:spacing w:after="40" w:line="276" w:lineRule="auto"/>
      </w:pPr>
      <w:r>
        <w:t>3.5 监督分类增强：作为可选增强模块，用于说明自动编码可信度与工作量，不与 DID 主模型竞争主位。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632"/>
            <w:shd w:fill="FFF2CC"/>
            <w:vAlign w:val="center"/>
          </w:tcPr>
          <w:p>
            <w:pPr>
              <w:spacing w:before="60" w:after="60" w:line="276" w:lineRule="auto"/>
            </w:pPr>
            <w:r>
              <w:rPr>
                <w:b w:val="0"/>
                <w:sz w:val="20"/>
              </w:rPr>
              <w:t>写作警戒：写作警戒：不要再沿用旧 handoff 中“10个主题”“A/B/C 三维”为正文主口径；这些只能作为旧版探索背景。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120" w:after="80" w:line="300" w:lineRule="auto"/>
      </w:pPr>
      <w:r>
        <w:rPr>
          <w:b w:val="0"/>
        </w:rPr>
        <w:t>第4部分 文本变量构造</w:t>
      </w:r>
    </w:p>
    <w:p>
      <w:pPr>
        <w:spacing w:after="80"/>
      </w:pPr>
      <w:r>
        <w:rPr>
          <w:b/>
        </w:rPr>
        <w:t>本节定位：</w:t>
      </w:r>
      <w:r>
        <w:t>本部分的核心是把前端文本结果转化为可进入省—年实证模型的变量体系，使文本分析不再停留在展示层。</w:t>
      </w:r>
    </w:p>
    <w:p>
      <w:pPr>
        <w:pStyle w:val="ListNumber"/>
        <w:spacing w:after="40" w:line="276" w:lineRule="auto"/>
      </w:pPr>
      <w:r>
        <w:t>4.1 文档级文本指标构造：交代 cnt、idx、share 等变量的生成原则。</w:t>
      </w:r>
    </w:p>
    <w:p>
      <w:pPr>
        <w:pStyle w:val="ListNumber"/>
        <w:spacing w:after="40" w:line="276" w:lineRule="auto"/>
      </w:pPr>
      <w:r>
        <w:t>4.2 省—年聚合与年份聚合：说明为何最终以省—年为主层级，并与政策冲击、PPP 结果变量统一层级。</w:t>
      </w:r>
    </w:p>
    <w:p>
      <w:pPr>
        <w:pStyle w:val="ListNumber"/>
        <w:spacing w:after="40" w:line="276" w:lineRule="auto"/>
      </w:pPr>
      <w:r>
        <w:t>4.3 一级、二级与综合文本指数：说明 A/B/C/D、A1~D3、治理能力综合指数与规范—风险综合指数的构造逻辑。</w:t>
      </w:r>
    </w:p>
    <w:p>
      <w:pPr>
        <w:pStyle w:val="ListNumber"/>
        <w:spacing w:after="40" w:line="276" w:lineRule="auto"/>
      </w:pPr>
      <w:r>
        <w:t>4.4 机器主题占比变量：说明 24 个 topic share 的含义与展示边界。</w:t>
      </w:r>
    </w:p>
    <w:p>
      <w:pPr>
        <w:pStyle w:val="ListNumber"/>
        <w:spacing w:after="40" w:line="276" w:lineRule="auto"/>
      </w:pPr>
      <w:r>
        <w:t>4.5 变量使用策略：点明哪些变量进入机制、哪些变量只用于解释与附录。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632"/>
            <w:shd w:fill="FFF2CC"/>
            <w:vAlign w:val="center"/>
          </w:tcPr>
          <w:p>
            <w:pPr>
              <w:spacing w:before="60" w:after="60" w:line="276" w:lineRule="auto"/>
            </w:pPr>
            <w:r>
              <w:rPr>
                <w:b w:val="0"/>
                <w:sz w:val="20"/>
              </w:rPr>
              <w:t>写作警戒：写作警戒：不要把旧版 248×44 面板继续写成当前主结果数据层；正文必须统一到四级十二类重建版。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120" w:after="80" w:line="300" w:lineRule="auto"/>
      </w:pPr>
      <w:r>
        <w:rPr>
          <w:b w:val="0"/>
        </w:rPr>
        <w:t>第5部分 核心实证识别</w:t>
      </w:r>
    </w:p>
    <w:p>
      <w:pPr>
        <w:spacing w:after="80"/>
      </w:pPr>
      <w:r>
        <w:rPr>
          <w:b/>
        </w:rPr>
        <w:t>本节定位：</w:t>
      </w:r>
      <w:r>
        <w:t>本部分必须回答数字化改革是否改变了 PPP 项目治理表现，并以 DID/TWFE 为唯一主识别框架。</w:t>
      </w:r>
    </w:p>
    <w:p>
      <w:pPr>
        <w:pStyle w:val="ListNumber"/>
        <w:spacing w:after="40" w:line="276" w:lineRule="auto"/>
      </w:pPr>
      <w:r>
        <w:t>5.1 识别思路与主模型：交代省—年面板、双向固定效应、控制变量、聚类层级与处理变量设置。</w:t>
      </w:r>
    </w:p>
    <w:p>
      <w:pPr>
        <w:pStyle w:val="ListNumber"/>
        <w:spacing w:after="40" w:line="276" w:lineRule="auto"/>
      </w:pPr>
      <w:r>
        <w:t>5.2 处理变量定义：主规格采用 treat_share；did_any 与 did_intensity 作为替代处理变量。这里必须补变量定义表，不能模糊带过。</w:t>
      </w:r>
    </w:p>
    <w:p>
      <w:pPr>
        <w:pStyle w:val="ListNumber"/>
        <w:spacing w:after="40" w:line="276" w:lineRule="auto"/>
      </w:pPr>
      <w:r>
        <w:t>5.3 结果变量设置：核心结果落在 exec_share 与 proc_share；prep_share、zindex 与通过率类指标作为辅助。</w:t>
      </w:r>
    </w:p>
    <w:p>
      <w:pPr>
        <w:pStyle w:val="ListNumber"/>
        <w:spacing w:after="40" w:line="276" w:lineRule="auto"/>
      </w:pPr>
      <w:r>
        <w:t>5.4 基准结果：突出“执行阶段占比上升、采购阶段占比下降”的稳定结论，不把所有质量指标显著改善写成主结论。</w:t>
      </w:r>
    </w:p>
    <w:p>
      <w:pPr>
        <w:pStyle w:val="ListNumber"/>
        <w:spacing w:after="40" w:line="276" w:lineRule="auto"/>
      </w:pPr>
      <w:r>
        <w:t>5.5 事件研究：只作为动态展示和识别边界说明，明确说明其不能充当强平行趋势支撑。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632"/>
            <w:shd w:fill="FFF2CC"/>
            <w:vAlign w:val="center"/>
          </w:tcPr>
          <w:p>
            <w:pPr>
              <w:spacing w:before="60" w:after="60" w:line="276" w:lineRule="auto"/>
            </w:pPr>
            <w:r>
              <w:rPr>
                <w:b w:val="0"/>
                <w:sz w:val="20"/>
              </w:rPr>
              <w:t>写作警戒：写作警戒：当前正文不宜把 PCA 指标作为主表核心支撑；若坚持写入，必须先补齐统一方向的最终版结果。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200" w:after="120" w:line="300" w:lineRule="auto"/>
      </w:pPr>
      <w:r>
        <w:rPr>
          <w:b w:val="0"/>
        </w:rPr>
        <w:t>四、当前最应该先补的三项</w:t>
      </w:r>
    </w:p>
    <w:p>
      <w:pPr>
        <w:pStyle w:val="ListBullet"/>
        <w:spacing w:after="60"/>
      </w:pPr>
      <w:r>
        <w:t>补一页“版本与口径统一说明”，放在全文方法部分开头或附录首页，用于一次性消除 10 主题 / 24 主题、A/B/C / A/B/C/D、旧面板 / 新面板的冲突。</w:t>
      </w:r>
    </w:p>
    <w:p>
      <w:pPr>
        <w:pStyle w:val="ListBullet"/>
        <w:spacing w:after="60"/>
      </w:pPr>
      <w:r>
        <w:t>补一张“处理变量定义表”，把 treat_share、did_any、did_intensity 的层级、用途和正文写法统一下来，避免第5部分继续含混。</w:t>
      </w:r>
    </w:p>
    <w:p>
      <w:pPr>
        <w:pStyle w:val="ListBullet"/>
        <w:spacing w:after="60"/>
      </w:pPr>
      <w:r>
        <w:t>决定 PCA 指标的最终处理策略：要么暂时降为附录结果，要么补齐固定方向重建后的正式结果再回正文主表。</w:t>
      </w:r>
    </w:p>
    <w:p>
      <w:pPr>
        <w:pStyle w:val="Heading1"/>
        <w:spacing w:before="200" w:after="120" w:line="300" w:lineRule="auto"/>
      </w:pPr>
      <w:r>
        <w:rPr>
          <w:b w:val="0"/>
        </w:rPr>
        <w:t>五、使用说明</w:t>
      </w:r>
    </w:p>
    <w:p>
      <w:pPr>
        <w:spacing w:before="0" w:after="80" w:line="300" w:lineRule="auto"/>
      </w:pPr>
      <w:r>
        <w:rPr>
          <w:b w:val="0"/>
        </w:rPr>
        <w:t>若你接下来先写正文，建议按本文件的第3部分写作骨架推进，不再反复回到旧 handoff 文本中已有冲突的口径。</w:t>
      </w:r>
    </w:p>
    <w:p>
      <w:pPr>
        <w:spacing w:before="0" w:after="80" w:line="300" w:lineRule="auto"/>
      </w:pPr>
      <w:r>
        <w:rPr>
          <w:b w:val="0"/>
        </w:rPr>
        <w:t>若你接下来先改文件，总顺序应为：先改总说明与变量表，再改正文，再重画图；不要先在旧图上修修补补。</w:t>
      </w:r>
    </w:p>
    <w:p>
      <w:pPr>
        <w:spacing w:before="0" w:after="80" w:line="300" w:lineRule="auto"/>
      </w:pPr>
      <w:r>
        <w:rPr>
          <w:b w:val="0"/>
        </w:rPr>
        <w:t>若后续还要继续打包，建议把本文件放在压缩包根目录，与“最终采用文件清单”“README_总说明”并列。</w:t>
      </w:r>
    </w:p>
    <w:p/>
    <w:p>
      <w:pPr>
        <w:pStyle w:val="Heading1"/>
      </w:pPr>
      <w:r>
        <w:t>六、风险修正与写作边界（本轮已落实）</w:t>
      </w:r>
    </w:p>
    <w:p>
      <w:pPr/>
      <w:r>
        <w:t>1. 文件名与内容一致化：原包内多份 V1/V2 命名文件实际承载的是四级十二类重建结果。本轮已统一重命名，并同步更新 README、最终采用文件清单、替换清单、脚本与 do 文件中的路径引用。</w:t>
      </w:r>
    </w:p>
    <w:p>
      <w:pPr/>
      <w:r>
        <w:t>2. 处理变量精确定义：已将 treat_share、did_any、did_intensity 的精确聚合公式正式落到本文件与第5.1工作簿，不再停留于描述性定义。</w:t>
      </w:r>
    </w:p>
    <w:p>
      <w:pPr/>
      <w:r>
        <w:t>3. 文本缺位修正：保留“无文本=0”的原口径以维持面板一致，同时新增 text_missing_dummy 与 text_observed_dummy 两个虚拟变量，用于显式控制/解释制度表达缺位。</w:t>
      </w:r>
    </w:p>
    <w:p>
      <w:pPr/>
      <w:r>
        <w:t>4. 机制写法收束：第6部分统一采用“接口优先、部分机制、阶段性传导”的表述，不再把严格中介或链式机制写成已完整成立。</w:t>
      </w:r>
    </w:p>
    <w:p>
      <w:pPr/>
      <w:r>
        <w:t>5. 稳健性边界：第8.4 仅写为 matched-sample DID/TWFE 的审慎补充；第8.5 写为已评估但暂不实施 IV；第8.6 写为高维稳健性补充，不替代 DID/TWFE 主结论。</w:t>
      </w:r>
    </w:p>
    <w:p>
      <w:pPr/>
      <w:r>
        <w:t>6. 第9部分边界：项目级风险预测应写成极端高/低风险排序任务的扩展分析，AUC 约0.85 代表中等偏强的识别能力，不得写成模型可替代制度治理。</w:t>
      </w:r>
    </w:p>
    <w:p>
      <w:r>
        <w:t>补充说明：treat_share 作为主规格的理由，是其能保留省内改革覆盖差异，避免 did_any 的二元粗糙化。事件研究只能写作动态展示与识别限制说明；DML只能写作高维稳健性补充；第9部分只能写作结构性风险排序/识别任务。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37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454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5A5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375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