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http://schemas.openxmlformats.org/officeDocument/2006/math"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2C1996D8">
      <w:pPr>
        <w:spacing w:before="0" w:after="120" w:line="420" w:lineRule="auto"/>
        <w:jc w:val="center"/>
      </w:pPr>
      <w:r>
        <w:t>政务服务数字化改革与PPP项目推进结构重组</w:t>
      </w:r>
    </w:p>
    <w:p ns2:paraId="390DCDE6">
      <w:pPr>
        <w:spacing w:before="0" w:after="100" w:line="420" w:lineRule="auto"/>
        <w:jc w:val="center"/>
      </w:pPr>
      <w:r>
        <w:t>——基于政策文本量化与省级面板的条件关联证据</w:t>
      </w:r>
    </w:p>
    <w:p ns2:paraId="30403AEF">
      <w:pPr>
        <w:spacing w:before="100" w:after="40" w:line="420" w:lineRule="auto"/>
        <w:jc w:val="left"/>
      </w:pPr>
      <w:r>
        <w:t>摘要</w:t>
      </w:r>
    </w:p>
    <w:p ns2:paraId="06D5E74C">
      <w:pPr>
        <w:spacing w:before="0" w:after="0" w:line="420" w:lineRule="auto"/>
        <w:ind w:firstLine="420"/>
        <w:jc w:val="both"/>
      </w:pPr>
      <w:r>
        <w:t>本文关注的核心问题不是数字化改革是否立即全面提升PPP治理质量，而是它是否首先与PPP项目推进结构重组相关。基于地方政府PPP政策文本、统一口径的省级主面板以及项目级风险底表，本文将政策文本量化结果转化为治理能力测度变量，并以treat_share为唯一主识别中的核心处理变量，在地区和年份固定效应框架下估计政务服务数字化改革暴露强度与PPP项目推进结构、治理表现之间的平均条件关联。结果显示，在基准TWFE规格下，treat_share与exec_share显著正相关（系数0.3556），与proc_share显著负相关（系数-0.4023）；在同一262个正式估计观测上补充构造的执行/采购对数比率指标也给出同向支持（系数3.1916，p = 0.0277）。相比之下，综合治理质量指标ppp_quality_zindex虽有正向信号，但统计上不够稳定，不能承担全文主结论。进一步的趋势调整型DID显示，proc_share在加入省份线性趋势后仍为负且p = 0.0485，exec_share仅保持正向但p = 0.1945；wild cluster bootstrap下两项主结果的p值分别为0.0761和0.1221，提示推断强度较标准聚类结果更敏感。考虑到A/B/C/D维度与treat_share都依托政策文本工程，本轮将相关结果统一降格为“政策文本证据线索”，仅用于说明数字治理接口、数据协同与前端规范环节更可能率先响应，而不再将其写作独立的强机制检验。项目级高低风险识别仍只构成治理辅助识别的扩展分析，不改变本文以多期DID/TWFE为唯一主识别的研究结构。本文据此将数字化改革在PPP领域的经验结果界定为过程性、方向性的条件关联证据：其更接近于改善政府内部协同、前端规范和审批执行衔接，而非即时、全面地提升所有治理质量指标。</w:t>
      </w:r>
    </w:p>
    <w:p ns2:paraId="67752E94">
      <w:pPr>
        <w:spacing w:before="0" w:after="40" w:line="420" w:lineRule="auto"/>
        <w:jc w:val="left"/>
      </w:pPr>
      <w:r>
        <w:t>关键词：数字政府；政务服务数字化改革；PPP治理；政策文本量化；推进结构重组；治理辅助识别</w:t>
      </w:r>
    </w:p>
    <w:p ns2:paraId="5705B879">
      <w:pPr>
        <w:spacing w:before="160" w:after="60" w:line="420" w:lineRule="auto"/>
        <w:jc w:val="left"/>
      </w:pPr>
      <w:r>
        <w:t>1 引言</w:t>
      </w:r>
    </w:p>
    <w:p ns2:paraId="7EA9AC05">
      <w:pPr>
        <w:spacing w:before="0" w:after="0" w:line="420" w:lineRule="auto"/>
        <w:ind w:firstLine="420"/>
        <w:jc w:val="both"/>
      </w:pPr>
      <w:r>
        <w: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w:t>
      </w:r>
    </w:p>
    <w:p ns2:paraId="2AF545B6">
      <w:pPr>
        <w:spacing w:before="0" w:after="0" w:line="420" w:lineRule="auto"/>
        <w:ind w:firstLine="420"/>
        <w:jc w:val="both"/>
      </w:pPr>
      <w:r>
        <w:t>既有研究为理解这一问题提供了三方面基础，但仍存在明显空缺。第一，关于数字政府或数字治理改革的研究，更多关注营商环境、政务效率、信息披露和企业行为等结果变量，对改革如何通过制度接口重塑具体治理过程的讨论仍然有限（肖永慧，2025；边江泽等，2025）。第二，关于PPP治理的经验研究，已有工作已经注意到地方治理压力、财政约束、政策内容与项目推进之间的关系，但对“政府改革如何通过政策执行与流程重构影响PPP推进结构”的解释仍不充分（孙慧等，2024；汪峰等，2025）。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曹玲静、张志强，2022；李牧南等，2024）。至于项目级机器学习识别，已有相关经验更多出现在金融舞弊或企业风险领域，直接移植到PPP并不自然，其适用边界也需要重新界定（范小云等，2022；范柏乃、盛中华，2024）。</w:t>
      </w:r>
    </w:p>
    <w:p ns2:paraId="07EBD6BC">
      <w:pPr>
        <w:spacing w:before="0" w:after="0" w:line="420" w:lineRule="auto"/>
        <w:ind w:firstLine="420"/>
        <w:jc w:val="both"/>
      </w:pPr>
      <w:r>
        <w: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在地区和年份固定效应框架下考察数字化改革暴露强度与PPP项目推进结构重组之间的平均条件关联；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与PPP项目的推进结构重组和治理过程调整相关联。</w:t>
      </w:r>
    </w:p>
    <w:p ns2:paraId="51C6C0BD">
      <w:pPr>
        <w:spacing w:before="0" w:after="0" w:line="420" w:lineRule="auto"/>
        <w:ind w:firstLine="420"/>
        <w:jc w:val="both"/>
      </w:pPr>
      <w:r>
        <w:t>本文的经验结果显示，在基准双向固定效应规格下，treat_share与exec_share呈显著正向关联、与proc_share呈显著负向关联，对数比率补充估计也给出同向信号。这意味着当前最稳固的证据首先体现为PPP推进结构的相对重组，而不是所有治理质量指标的同步跃升。相比之下，综合治理质量指标ppp_quality_zindex虽然方向为正，但统计上不够稳定，不能被写成全文主结论。机制分析进一步表明，改革更可能优先作用于数字治理接口和前端规范环节，采购—执行治理维度存在阶段性响应，但严格中介并未成立。相较于将数字政府研究停留在一般行政效率结果、将PPP研究停留在投资安排或财政约束解释、将文本分析停留在方法展示，本文的边际贡献在于把数字化改革、项目推进结构与文本变量工程纳入同一公共管理分析框架，并在严格区分主识别、防守性稳健性与扩展分析的前提下组织证据层级。项目级高低风险识别结果则显示，在严格避免标签泄漏的前提下，文本与结构变量可以服务于风险排序任务，但这一部分属于扩展分析，不构成对主识别的替代。</w:t>
      </w:r>
    </w:p>
    <w:p ns2:paraId="72D87E3E">
      <w:pPr>
        <w:spacing w:before="0" w:after="0" w:line="420" w:lineRule="auto"/>
        <w:ind w:firstLine="420"/>
        <w:jc w:val="both"/>
      </w:pPr>
      <w:r>
        <w: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w:t>
      </w:r>
    </w:p>
    <w:p ns2:paraId="4943697C">
      <w:pPr>
        <w:spacing w:before="160" w:after="60" w:line="420" w:lineRule="auto"/>
        <w:jc w:val="left"/>
      </w:pPr>
      <w:r>
        <w:t>2 文献综述</w:t>
      </w:r>
    </w:p>
    <w:p ns2:paraId="532AF634">
      <w:pPr>
        <w:spacing w:before="100" w:after="40" w:line="420" w:lineRule="auto"/>
        <w:jc w:val="left"/>
      </w:pPr>
      <w:r>
        <w:t>2.1 数字政府、政策执行与组织协同</w:t>
      </w:r>
    </w:p>
    <w:p ns2:paraId="7B2D6F51">
      <w:pPr>
        <w:spacing w:before="0" w:after="0" w:line="420" w:lineRule="auto"/>
        <w:ind w:firstLine="420"/>
        <w:jc w:val="both"/>
      </w:pPr>
      <w:r>
        <w: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肖永慧，2025；边江泽等，2025）。</w:t>
      </w:r>
    </w:p>
    <w:p ns2:paraId="3A1123CD">
      <w:pPr>
        <w:spacing w:before="0" w:after="0" w:line="420" w:lineRule="auto"/>
        <w:ind w:firstLine="420"/>
        <w:jc w:val="both"/>
      </w:pPr>
      <w:r>
        <w: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w:t>
      </w:r>
    </w:p>
    <w:p ns2:paraId="196E2D94">
      <w:pPr>
        <w:spacing w:before="0" w:after="0" w:line="420" w:lineRule="auto"/>
        <w:ind w:firstLine="420"/>
        <w:jc w:val="both"/>
      </w:pPr>
      <w:r>
        <w:t>进一步看，制度冲击型改革的经验研究表明，规则重塑和信息披露安排的改变往往先改善信息质量、组织环境与行为约束，再经由这些过程性变化影响终端绩效；关于政策系统“变与稳”的讨论也提示，不同治理环节对改革的响应并不同步，前端流程、制度接口和披露机制常常早于综合绩效指标发生变化（王渊等，2025；廖燕珠、莫桂芳，2025）。由此出发，数字化改革在PPP场景下更值得优先考察的，不是所有质量口径是否同步跃升，而是项目推进链条是否首先出现可观测的结构重组。</w:t>
      </w:r>
    </w:p>
    <w:p ns2:paraId="426717FE">
      <w:pPr>
        <w:spacing w:before="100" w:after="40" w:line="420" w:lineRule="auto"/>
        <w:jc w:val="left"/>
      </w:pPr>
      <w:r>
        <w:t>2.2 PPP治理、公共服务供给与项目推进</w:t>
      </w:r>
    </w:p>
    <w:p ns2:paraId="28EF0F58">
      <w:pPr>
        <w:spacing w:before="0" w:after="0" w:line="420" w:lineRule="auto"/>
        <w:ind w:firstLine="420"/>
        <w:jc w:val="both"/>
      </w:pPr>
      <w:r>
        <w: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孙慧等，2024；汪峰等，2025）。</w:t>
      </w:r>
    </w:p>
    <w:p ns2:paraId="158F9385">
      <w:pPr>
        <w:spacing w:before="0" w:after="0" w:line="420" w:lineRule="auto"/>
        <w:ind w:firstLine="420"/>
        <w:jc w:val="both"/>
      </w:pPr>
      <w:r>
        <w: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w:t>
      </w:r>
    </w:p>
    <w:p ns2:paraId="282BBE2B">
      <w:pPr>
        <w:spacing w:before="0" w:after="0" w:line="420" w:lineRule="auto"/>
        <w:ind w:firstLine="420"/>
        <w:jc w:val="both"/>
      </w:pPr>
      <w:r>
        <w:t>近期关于PPP政策内容、市场反应与项目进程的研究进一步说明，PPP项目并非单纯的资本投入单元，而是制度供给、政策约束、市场预期和项目执行共同作用的治理对象。无论是规范性政策文本对市场信号的影响，还是经济增长目标对项目推进节奏的牵引，都表明项目阶段转换本身具有清晰的公共管理含义（孙慧等，2024；汪峰等，2025）。正因为如此，执行阶段占比和采购阶段占比并不是单纯的生命周期统计，而是地方政府治理能力和政策执行状态的外在窗口。</w:t>
      </w:r>
    </w:p>
    <w:p ns2:paraId="2940264A">
      <w:pPr>
        <w:spacing w:before="100" w:after="40" w:line="420" w:lineRule="auto"/>
        <w:jc w:val="left"/>
      </w:pPr>
      <w:r>
        <w:t>2.3 政策文本量化、治理测度与变量工程</w:t>
      </w:r>
    </w:p>
    <w:p ns2:paraId="0B47B6EC">
      <w:pPr>
        <w:spacing w:before="0" w:after="0" w:line="420" w:lineRule="auto"/>
        <w:ind w:firstLine="420"/>
        <w:jc w:val="both"/>
      </w:pPr>
      <w:r>
        <w: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曹玲静、张志强，2022；李牧南等，2024）。</w:t>
      </w:r>
    </w:p>
    <w:p ns2:paraId="61656872">
      <w:pPr>
        <w:spacing w:before="0" w:after="0" w:line="420" w:lineRule="auto"/>
        <w:ind w:firstLine="420"/>
        <w:jc w:val="both"/>
      </w:pPr>
      <w:r>
        <w: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w:t>
      </w:r>
    </w:p>
    <w:p ns2:paraId="29E67CB4">
      <w:pPr>
        <w:spacing w:before="0" w:after="0" w:line="420" w:lineRule="auto"/>
        <w:ind w:firstLine="420"/>
        <w:jc w:val="both"/>
      </w:pPr>
      <w:r>
        <w:t>从政策信息学、主题建模和自动编码的最新进展看，文本量化方法的真正价值不在于算法名称本身，而在于能否把非结构化政策语义转化为可比较、可聚合、可进入正式识别框架的制度信息。就本文而言，BERTopic、词典扩展和自动编码都只是服务于治理维度识别和变量工程的工具，其方法层级从属于研究问题层级；如果不能与治理维度划分、样本层级组织和经验识别衔接，再复杂的文本处理也难以形成可信的公共管理证据（王蓝蓝、刘艳丽，2024；曹玲静、张志强，2022；李牧南等，2024）。</w:t>
      </w:r>
    </w:p>
    <w:p ns2:paraId="060D3D1F">
      <w:pPr>
        <w:spacing w:before="100" w:after="40" w:line="420" w:lineRule="auto"/>
        <w:jc w:val="left"/>
      </w:pPr>
      <w:r>
        <w:t>2.4 风险治理与辅助识别的边界</w:t>
      </w:r>
    </w:p>
    <w:p ns2:paraId="615D316D">
      <w:pPr>
        <w:spacing w:before="0" w:after="0" w:line="420" w:lineRule="auto"/>
        <w:ind w:firstLine="420"/>
        <w:jc w:val="both"/>
      </w:pPr>
      <w:r>
        <w: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范柏乃、盛中华，2024；范小云等，2022；刘敏等，2025）。</w:t>
      </w:r>
    </w:p>
    <w:p ns2:paraId="70365786">
      <w:pPr>
        <w:spacing w:before="0" w:after="0" w:line="420" w:lineRule="auto"/>
        <w:ind w:firstLine="420"/>
        <w:jc w:val="both"/>
      </w:pPr>
      <w:r>
        <w: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w:t>
      </w:r>
    </w:p>
    <w:p ns2:paraId="66567846">
      <w:pPr>
        <w:spacing w:before="0" w:after="0" w:line="420" w:lineRule="auto"/>
        <w:ind w:firstLine="420"/>
        <w:jc w:val="both"/>
      </w:pPr>
      <w:r>
        <w:t>风险治理研究与多源文本研究同时提示，排序能力、预警能力与制度解释能力并不处于同一层次。项目级模型即便能够较好地区分高低风险项目，也更多体现为前端筛查和资源配置上的治理辅助价值，而不能被直接转译为制度因果识别（范柏乃、盛中华，2024；范小云等，2022；刘敏等，2025）。对本文而言，这一区分尤为关键：项目级扩展分析的意义在于补充公共治理工具箱，而不在于重写省级面板上的主识别结论。</w:t>
      </w:r>
    </w:p>
    <w:p ns2:paraId="735A44BC">
      <w:pPr>
        <w:spacing w:before="0" w:after="0" w:line="420" w:lineRule="auto"/>
        <w:ind w:firstLine="420"/>
        <w:jc w:val="both"/>
      </w:pPr>
      <w:r>
        <w: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w:t>
      </w:r>
    </w:p>
    <w:p ns2:paraId="6707BDC3">
      <w:pPr>
        <w:spacing w:before="160" w:after="60" w:line="420" w:lineRule="auto"/>
        <w:jc w:val="left"/>
      </w:pPr>
      <w:r>
        <w:t>3 理论分析与研究假设</w:t>
      </w:r>
    </w:p>
    <w:p ns2:paraId="1C9B496D">
      <w:pPr>
        <w:spacing w:before="0" w:after="0" w:line="420" w:lineRule="auto"/>
        <w:ind w:firstLine="420"/>
        <w:jc w:val="both"/>
      </w:pPr>
      <w:r>
        <w:t>在明确研究问题、数据基础和总体识别思路之后，本文需要进一步回答一个更为根本的问题：政务服务数字化改革究竟通过何种公共管理机制影响PPP项目的治理运行过程。对于PPP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w:t>
      </w:r>
    </w:p>
    <w:p ns2:paraId="563E5DF9">
      <w:pPr>
        <w:spacing w:before="160" w:after="60" w:line="420" w:lineRule="auto"/>
        <w:jc w:val="left"/>
      </w:pPr>
      <w:r>
        <w:t>3.1 数字化改革、政府协同与PPP推进结构</w:t>
      </w:r>
    </w:p>
    <w:p ns2:paraId="2319931F">
      <w:pPr>
        <w:spacing w:before="0" w:after="0" w:line="420" w:lineRule="auto"/>
        <w:ind w:firstLine="420"/>
        <w:jc w:val="both"/>
      </w:pPr>
      <w:r>
        <w:t>PPP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项目能否顺利由前端识别和采购环节进入执行环节，本质上反映的是政府内部治理能力和政策执行效率。</w:t>
      </w:r>
    </w:p>
    <w:p ns2:paraId="17069AF5">
      <w:pPr>
        <w:spacing w:before="0" w:after="0" w:line="420" w:lineRule="auto"/>
        <w:ind w:firstLine="420"/>
        <w:jc w:val="both"/>
      </w:pPr>
      <w:r>
        <w: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w:t>
      </w:r>
    </w:p>
    <w:p ns2:paraId="1C61CB02">
      <w:pPr>
        <w:spacing w:before="0" w:after="0" w:line="420" w:lineRule="auto"/>
        <w:ind w:firstLine="420"/>
        <w:jc w:val="both"/>
      </w:pPr>
      <w:r>
        <w:t>从公共管理角度看，这种变化具有两层含义。其一，数字化改革通过改善政府内部协同和政策执行效率，提升了项目推进链条中的组织可达性与程序可达性。其二，PPP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w:t>
      </w:r>
    </w:p>
    <w:p ns2:paraId="2A8A054C">
      <w:pPr>
        <w:spacing w:before="0" w:after="0" w:line="420" w:lineRule="auto"/>
        <w:ind w:firstLine="420"/>
        <w:jc w:val="both"/>
      </w:pPr>
      <w:r>
        <w:t>已有关于PPP项目进程和政策内容的研究表明，前端规范供给、政府目标牵引和项目入库规则往往会优先改变项目在不同阶段之间的转换速度，而不必然立即改善所有质量指标（孙慧等，2024；汪峰等，2025）。换言之，数字化改革若通过提升协同效率、压缩程序摩擦和规范准入条件发挥作用，那么最早可见的经验结果更可能是采购、准备与执行阶段之间的结构重组，而不是综合治理质量的同步跃升。</w:t>
      </w:r>
    </w:p>
    <w:p ns2:paraId="587F4C6B">
      <w:pPr>
        <w:spacing w:before="50" w:after="50" w:line="420" w:lineRule="auto"/>
        <w:jc w:val="left"/>
      </w:pPr>
      <w:r>
        <w:t>基于上述分析，本文提出第一个研究假设：</w:t>
      </w:r>
    </w:p>
    <w:p ns2:paraId="496EF862">
      <w:pPr>
        <w:spacing w:before="0" w:after="0" w:line="420" w:lineRule="auto"/>
        <w:ind w:firstLine="420"/>
        <w:jc w:val="both"/>
      </w:pPr>
      <w:r>
        <w:t>假说H1：政务服务数字化改革暴露强度越高，PPP项目推进结构由采购/准备阶段向执行阶段发生相对份额重组的程度越高。</w:t>
      </w:r>
    </w:p>
    <w:p ns2:paraId="31900A7E">
      <w:pPr>
        <w:spacing w:before="160" w:after="60" w:line="420" w:lineRule="auto"/>
        <w:jc w:val="left"/>
      </w:pPr>
      <w:r>
        <w:t>3.2 接口优先、前端规范先行与阶段性传导</w:t>
      </w:r>
    </w:p>
    <w:p ns2:paraId="67455CD8">
      <w:pPr>
        <w:spacing w:before="0" w:after="0" w:line="420" w:lineRule="auto"/>
        <w:ind w:firstLine="420"/>
        <w:jc w:val="both"/>
      </w:pPr>
      <w:r>
        <w: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PPP场景中，这些接口因素既决定项目能否被有效识别和规范纳入，也决定项目能否在采购与执行之间实现更顺畅的流程转换。</w:t>
      </w:r>
    </w:p>
    <w:p ns2:paraId="6578DD09">
      <w:pPr>
        <w:spacing w:before="0" w:after="0" w:line="420" w:lineRule="auto"/>
        <w:ind w:firstLine="420"/>
        <w:jc w:val="both"/>
      </w:pPr>
      <w:r>
        <w:t>结合本文的政策文本框架，这一逻辑可以进一步拆解为四个层面的治理维度。第一，A维度对应数字治理接口与数据协同，其核心是平台建设、在线办理、数据共享和信息公开等制度表达。这一维度反映的是政府内部流程再造和协同能力，是数字化改革最可能率先作用的环节。第二，B维度对应项目识别与前端规范准入，包括项目入库、物有所值评价、财政承受能力约束和实施方案审批等内容。这一维度体现的是PPP前端程序的规范化程度。第三，C维度对应采购交易、合同安排与执行绩效，更多反映项目进入具体执行环节后的治理运行状态。第四，D维度对应风险防控、监督纠偏与退出约束，体现的是治理体系的后端监督与风险处置能力。</w:t>
      </w:r>
    </w:p>
    <w:p ns2:paraId="49AE620C">
      <w:pPr>
        <w:spacing w:before="0" w:after="0" w:line="420" w:lineRule="auto"/>
        <w:ind w:firstLine="420"/>
        <w:jc w:val="both"/>
      </w:pPr>
      <w:r>
        <w:t>按照这一结构，数字化改革最有可能先推动A维度改善，并在此基础上通过B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C维度内容才可能出现较稳定的阶段性响应。相比之下，风险防控和退出约束等D维度往往涉及更长周期、更强监督和更复杂的制度反馈，其变化未必会与前端治理同步显现。</w:t>
      </w:r>
    </w:p>
    <w:p ns2:paraId="1DEC935D">
      <w:pPr>
        <w:spacing w:before="0" w:after="0" w:line="420" w:lineRule="auto"/>
        <w:ind w:firstLine="420"/>
        <w:jc w:val="both"/>
      </w:pPr>
      <w:r>
        <w: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A维度的先行响应、B到C的局部传导，以及部分环节显著而严格中介不足，那么这种结果并不意味着理论失败，而恰恰说明PPP治理链条中的改革传导本就具有阶段性、分层性和不完全性。</w:t>
      </w:r>
    </w:p>
    <w:p ns2:paraId="22C0CE5F">
      <w:pPr>
        <w:spacing w:before="0" w:after="0" w:line="420" w:lineRule="auto"/>
        <w:ind w:firstLine="420"/>
        <w:jc w:val="both"/>
      </w:pPr>
      <w:r>
        <w:t>从政策系统差异化调适的角度看，制度改革对不同治理维度的影响本就可能呈现“先接口、后绩效；先前端、后后端”的时序特征。也就是说，即便数字治理接口和前端准入环境已经发生调整，综合质量指标和后端风险约束也未必同步改善。由此，后文若观察到推进结构结果更稳、质量口径更弱，并不意味着理论失效，而更符合制度传导分层展开的现实逻辑。</w:t>
      </w:r>
    </w:p>
    <w:p ns2:paraId="2E9AB6EF">
      <w:pPr>
        <w:spacing w:before="50" w:after="50" w:line="420" w:lineRule="auto"/>
        <w:jc w:val="left"/>
      </w:pPr>
      <w:r>
        <w:t>基于上述分析，本文提出第二个研究假设：</w:t>
      </w:r>
    </w:p>
    <w:p ns2:paraId="78BA2F7C">
      <w:pPr>
        <w:spacing w:before="0" w:after="0" w:line="420" w:lineRule="auto"/>
        <w:ind w:firstLine="420"/>
        <w:jc w:val="both"/>
      </w:pPr>
      <w:r>
        <w:t>假说H2：政务服务数字化改革暴露强度越高，数字治理接口与前端规范准入相关的治理环境越可能率先响应，并通过阶段性传导与PPP项目推进结构重组相关联，但完整、稳定的强中介链条未必成立。</w:t>
      </w:r>
    </w:p>
    <w:p ns2:paraId="549CC562">
      <w:pPr>
        <w:spacing w:before="160" w:after="60" w:line="420" w:lineRule="auto"/>
        <w:jc w:val="left"/>
      </w:pPr>
      <w:r>
        <w:t>3.3 项目级风险识别的扩展命题与理论边界</w:t>
      </w:r>
    </w:p>
    <w:p ns2:paraId="4584768D">
      <w:pPr>
        <w:spacing w:before="0" w:after="0" w:line="420" w:lineRule="auto"/>
        <w:ind w:firstLine="420"/>
        <w:jc w:val="both"/>
      </w:pPr>
      <w:r>
        <w:t>除了省级面板上的治理过程识别之外，本文还进一步关注一个扩展性问题：如果数字化改革确实改变了PPP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w:t>
      </w:r>
    </w:p>
    <w:p ns2:paraId="6B908506">
      <w:pPr>
        <w:spacing w:before="0" w:after="0" w:line="420" w:lineRule="auto"/>
        <w:ind w:firstLine="420"/>
        <w:jc w:val="both"/>
      </w:pPr>
      <w:r>
        <w: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PPP风险问题上，如果标签定义与特征构造不加区分，机器学习模型很容易因标签泄漏而夸大表现，从而模糊“治理识别”和“技术分类”之间的边界。</w:t>
      </w:r>
    </w:p>
    <w:p ns2:paraId="7AFAD483">
      <w:pPr>
        <w:spacing w:before="0" w:after="0" w:line="420" w:lineRule="auto"/>
        <w:ind w:firstLine="420"/>
        <w:jc w:val="both"/>
      </w:pPr>
      <w:r>
        <w: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w:t>
      </w:r>
    </w:p>
    <w:p ns2:paraId="7A1D6B8D">
      <w:pPr>
        <w:spacing w:before="0" w:after="0" w:line="420" w:lineRule="auto"/>
        <w:ind w:firstLine="420"/>
        <w:jc w:val="both"/>
      </w:pPr>
      <w:r>
        <w: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treat_share多期DID/TWFE为唯一主识别的研究结构。</w:t>
      </w:r>
    </w:p>
    <w:p ns2:paraId="1EF45851">
      <w:pPr>
        <w:spacing w:before="0" w:after="0" w:line="420" w:lineRule="auto"/>
        <w:ind w:firstLine="420"/>
        <w:jc w:val="both"/>
      </w:pPr>
      <w:r>
        <w:t>风险治理与多阶段舆情识别研究还提示，排序能力的提升并不自动等于机制解释能力的增强。项目级模型能够帮助治理主体更早识别潜在高风险项目，但它回答的是“谁更可能出问题”，而不是“制度冲击为何产生这种结果”。因此，扩展分析即便具有操作层面的现实价值，也不能被反向理解为对主识别机制的补证。</w:t>
      </w:r>
    </w:p>
    <w:p ns2:paraId="35579BB8">
      <w:pPr>
        <w:spacing w:before="0" w:after="0" w:line="420" w:lineRule="auto"/>
        <w:ind w:firstLine="420"/>
        <w:jc w:val="both"/>
      </w:pPr>
      <w:r>
        <w:t>综上，本文的理论部分形成了一个层次清晰的分析框架：第一，数字化改革首先通过改善政府内部协同和政策执行效率，推动PPP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w:t>
      </w:r>
    </w:p>
    <w:p ns2:paraId="202B20E1">
      <w:pPr>
        <w:spacing w:before="160" w:after="60" w:line="420" w:lineRule="auto"/>
        <w:jc w:val="left"/>
      </w:pPr>
      <w:r>
        <w:t>4 研究设计</w:t>
      </w:r>
    </w:p>
    <w:p ns2:paraId="107004AD">
      <w:pPr>
        <w:spacing w:before="100" w:after="40" w:line="420" w:lineRule="auto"/>
        <w:jc w:val="left"/>
      </w:pPr>
      <w:r>
        <w:t>4.1 数据来源与样本结构</w:t>
      </w:r>
    </w:p>
    <w:p ns2:paraId="50857982">
      <w:pPr>
        <w:spacing w:before="0" w:after="0" w:line="420" w:lineRule="auto"/>
        <w:ind w:firstLine="420"/>
        <w:jc w:val="both"/>
      </w:pPr>
      <w:r>
        <w: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w:t>
      </w:r>
    </w:p>
    <w:p ns2:paraId="70C32763">
      <w:pPr>
        <w:spacing w:before="0" w:after="0" w:line="420" w:lineRule="auto"/>
        <w:ind w:firstLine="420"/>
        <w:jc w:val="both"/>
      </w:pPr>
      <w:r>
        <w:t>从样本结构看，本文首先收集并整理了1472份PPP政策文本，在清洗、去重和口径统一后，形成1307份进入主识别窗口的地方样本文档。在此基础上，文本结果被进一步聚合到省—年层，得到288个平衡的省—年观察值；考虑主识别窗口、变量完整性和正式主面板统一口径后，形成266个省级面板观测；进入第5部分正式估计的样本为262个观察值。与此同时，项目级风险扩展部分使用严格无标签泄漏口径下的10000个项目观察值。由此可见，本文并未将不同层级的数据直接混用，而是通过统一规则实现由文本到治理测度、再到面板识别和扩展分析的逐层衔接。</w:t>
      </w:r>
    </w:p>
    <w:p ns2:paraId="78B5B591">
      <w:pPr>
        <w:spacing w:before="0" w:after="40" w:line="420" w:lineRule="auto"/>
        <w:jc w:val="center"/>
      </w:pPr>
      <w:r>
        <w:t>表1报告了政策文本样本结构与语料覆盖情况。该表的作用不只是说明样本规模，更重要的是交代本文的证据组织方式：文本材料首先作为制度表达层证据存在，随后经由省—年聚合进入治理测度，最终服务于省级面板的因果识别。表3则进一步展示了V3主面板的样本结构、处理时点与主要变量描述统计，表明本文正式识别所依赖的是已经过统一口径整理的省级面板，而不是原始文档级样本。换言之，文本分析与主面板识别之间的关系，是“变量工程支撑因果检验”，而不是“文本模型直接替代识别设计”。</w:t>
      </w:r>
    </w:p>
    <w:p ns2:paraId="7BA7EC6B">
      <w:r>
        <w:t>Panel A 年度分布与层级结构</w:t>
      </w:r>
    </w:p>
    <w:tbl>
      <w:tblPr>
        <w:tblStyle w:val="2"/>
        <w:tblW w:w="881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96"/>
        <w:gridCol w:w="1007"/>
        <w:gridCol w:w="1233"/>
        <w:gridCol w:w="1233"/>
        <w:gridCol w:w="1007"/>
        <w:gridCol w:w="2102"/>
        <w:gridCol w:w="1233"/>
      </w:tblGrid>
      <w:tr ns2:paraId="64CBCB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996" w:type="dxa"/>
            <w:tcBorders>
              <w:top w:val="single" w:color="000000" w:sz="12" w:space="0"/>
              <w:left w:val="nil"/>
              <w:bottom w:val="single" w:color="000000" w:sz="4" w:space="0"/>
              <w:right w:val="nil"/>
              <w:tl2br w:val="nil"/>
            </w:tcBorders>
            <w:shd w:val="clear" w:color="auto" w:fill="FFFFFF"/>
            <w:noWrap w:val="0"/>
            <w:tcMar>
              <w:top w:w="40" w:type="dxa"/>
              <w:left w:w="50" w:type="dxa"/>
              <w:bottom w:w="40" w:type="dxa"/>
              <w:right w:w="50" w:type="dxa"/>
            </w:tcMar>
            <w:vAlign w:val="center"/>
          </w:tcPr>
          <w:p ns2:paraId="541593D2">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年份</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7671D5B4">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文本总数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44BC68E7">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中央文本数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289DFFF6">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地方文本数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4FF978F4">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总字符数</w:t>
            </w:r>
          </w:p>
        </w:tc>
        <w:tc>
          <w:tcPr>
            <w:tcW w:w="2102" w:type="dxa"/>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38DBB260">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平均篇幅（字符）</w:t>
            </w:r>
          </w:p>
        </w:tc>
        <w:tc>
          <w:tcPr>
            <w:tcW w:w="1233" w:type="dxa"/>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2625055A">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平均句子数</w:t>
            </w:r>
          </w:p>
        </w:tc>
      </w:tr>
      <w:tr ns2:paraId="7138F5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2465882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2014</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2135BD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658B4E4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0119ABD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0AD2C9F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88,130</w:t>
            </w:r>
          </w:p>
        </w:tc>
        <w:tc>
          <w:tcPr>
            <w:tcW w:w="2102"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69C72A3D">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3,525.20</w:t>
            </w:r>
          </w:p>
        </w:tc>
        <w:tc>
          <w:tcPr>
            <w:tcW w:w="1233"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5AFA6FA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64.52</w:t>
            </w:r>
          </w:p>
        </w:tc>
      </w:tr>
      <w:tr ns2:paraId="40522B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594837BC">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0D4115C">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547AAE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120A09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CACA49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1,167,069</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68246011">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3,422.49</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09864F5B">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62.29</w:t>
            </w:r>
          </w:p>
        </w:tc>
      </w:tr>
      <w:tr ns2:paraId="4945B0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659143A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0B567FB">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302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8D2AA3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6B474C9">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281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582D8E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1,127,167</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22F769EF">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3,732.34</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1E9BA88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65.32</w:t>
            </w:r>
          </w:p>
        </w:tc>
      </w:tr>
      <w:tr ns2:paraId="70E3B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3EF9D8E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2017</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C6A33B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F4853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190CAC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297</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796DA1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1,203,030</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54A6216B">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3,724.55</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1E16EA7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62.82</w:t>
            </w:r>
          </w:p>
        </w:tc>
      </w:tr>
      <w:tr ns2:paraId="5C0FC8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7FA9EDD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2018</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39178E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140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34364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35D5BE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0E1852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543,578</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3788B13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3,882.70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02281B70">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61.89</w:t>
            </w:r>
          </w:p>
        </w:tc>
      </w:tr>
      <w:tr ns2:paraId="288CC0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1ADCC71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29CE522">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5B0088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367E26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A73AFB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256,981</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3EA57EB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3,953.55</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2012FE53">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68.43</w:t>
            </w:r>
          </w:p>
        </w:tc>
      </w:tr>
      <w:tr ns2:paraId="369F6D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033AF82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64ADF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90D860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D8FDCF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28E4F0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291,202</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75567893">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3,271.93</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2B55D6B0">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47.47</w:t>
            </w:r>
          </w:p>
        </w:tc>
      </w:tr>
      <w:tr ns2:paraId="110860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0A42C98B">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41ADD1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81CF05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B32DA2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6BBDD3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217,655</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6ED515C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3,627.58</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6C53FE31">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62.75</w:t>
            </w:r>
          </w:p>
        </w:tc>
      </w:tr>
      <w:tr ns2:paraId="48157C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50747BC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BB3C02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A8A200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A85E33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E48E28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190,596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208640B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3,403.50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1D42A5E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52.93</w:t>
            </w:r>
          </w:p>
        </w:tc>
      </w:tr>
      <w:tr ns2:paraId="4D8E4B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66C916A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F468FC9">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DCBE5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7E4968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31C214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66,766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1FF84F3F">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3,514.00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3FB2D9C5">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53.16</w:t>
            </w:r>
          </w:p>
        </w:tc>
      </w:tr>
      <w:tr ns2:paraId="49E048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281C606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453ABB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D93769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0008EB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C3F7EF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59,873</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599551A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2,064.59</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24BA003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12.45</w:t>
            </w:r>
          </w:p>
        </w:tc>
      </w:tr>
      <w:tr ns2:paraId="43F19C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39FEE58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D6427B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3CEA9A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37655F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2BA1C5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31,815</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097E9B9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3,181.50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73D35052">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58.50</w:t>
            </w:r>
          </w:p>
        </w:tc>
      </w:tr>
      <w:tr ns2:paraId="68063B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2D39FC9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无年份</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9945A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B27CEA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DA2277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6316E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28,956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5F29357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2,227.38</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1897307C">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37.08</w:t>
            </w:r>
          </w:p>
        </w:tc>
      </w:tr>
      <w:tr ns2:paraId="162BEB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459CA552">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合计</w:t>
            </w:r>
          </w:p>
        </w:tc>
        <w:tc>
          <w:tcPr>
            <w:tcW w:w="1007"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47570E11">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1,472</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229D2D54">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105</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414003FD">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1,367</w:t>
            </w:r>
          </w:p>
        </w:tc>
        <w:tc>
          <w:tcPr>
            <w:tcW w:w="1007"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29E23B98">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5,272,818</w:t>
            </w:r>
          </w:p>
        </w:tc>
        <w:tc>
          <w:tcPr>
            <w:tcW w:w="2102"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57F5A3A5">
            <w:pPr>
              <w:snapToGrid w:val="0"/>
              <w:spacing w:before="0" w:after="0" w:line="240" w:lineRule="auto"/>
              <w:ind w:left="0" w:leftChars="0" w:right="0" w:rightChars="0" w:firstLine="0" w:firstLineChars="0"/>
              <w:jc w:val="right"/>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3,582.08</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7CBCE16B">
            <w:pPr>
              <w:snapToGrid w:val="0"/>
              <w:spacing w:before="0" w:after="0" w:line="240" w:lineRule="auto"/>
              <w:ind w:left="0" w:leftChars="0" w:right="0" w:rightChars="0" w:firstLine="0" w:firstLineChars="0"/>
              <w:jc w:val="right"/>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60.72</w:t>
            </w:r>
          </w:p>
        </w:tc>
      </w:tr>
    </w:tbl>
    <w:p ns2:paraId="127EC8B6">
      <w:pPr>
        <w:spacing w:before="0" w:after="0" w:line="420" w:lineRule="auto"/>
        <w:ind w:firstLine="420"/>
        <w:jc w:val="both"/>
      </w:pPr>
      <w:r>
        <w:t>这一层级关系意味着，文档级文本首先承担制度语义观测功能，省—年聚合结果承担治理能力测度功能，主面板承担因果识别功能，而项目级底表仅承担扩展分析功能。样本之间因此是递进衔接关系，而非可任意互换的平行数据源。</w:t>
      </w:r>
    </w:p>
    <w:p ns2:paraId="5150231C">
      <w:pPr>
        <w:spacing w:before="0" w:after="0" w:line="420" w:lineRule="auto"/>
        <w:ind w:firstLine="420"/>
        <w:jc w:val="both"/>
      </w:pPr>
    </w:p>
    <w:p ns2:paraId="58190B4F">
      <w:pPr>
        <w:spacing w:before="0" w:after="0" w:line="420" w:lineRule="auto"/>
        <w:ind w:firstLine="420"/>
        <w:jc w:val="both"/>
      </w:pPr>
    </w:p>
    <w:p ns2:paraId="5C8689EA">
      <w:pPr>
        <w:spacing w:before="0" w:after="0" w:line="420" w:lineRule="auto"/>
        <w:ind w:firstLine="420"/>
        <w:jc w:val="both"/>
      </w:pPr>
    </w:p>
    <w:p ns2:paraId="57E31665">
      <w:pPr>
        <w:spacing w:before="0" w:after="0" w:line="420" w:lineRule="auto"/>
        <w:ind w:firstLine="420"/>
        <w:jc w:val="both"/>
      </w:pPr>
    </w:p>
    <w:p ns2:paraId="4D6F8E3C">
      <w:pPr>
        <w:spacing w:before="0" w:after="0" w:line="420" w:lineRule="auto"/>
        <w:ind w:firstLine="420"/>
        <w:jc w:val="both"/>
      </w:pPr>
    </w:p>
    <w:p ns2:paraId="12316BE1">
      <w:pPr>
        <w:spacing w:before="0" w:after="0" w:line="420" w:lineRule="auto"/>
        <w:ind w:firstLine="420"/>
        <w:jc w:val="both"/>
      </w:pPr>
    </w:p>
    <w:p ns2:paraId="6DA916B7">
      <w:pPr>
        <w:spacing w:before="0" w:after="0" w:line="420" w:lineRule="auto"/>
        <w:ind w:firstLine="420"/>
        <w:jc w:val="both"/>
      </w:pPr>
    </w:p>
    <w:p ns2:paraId="75152F6C">
      <w:pPr>
        <w:spacing w:before="0" w:after="0" w:line="420" w:lineRule="auto"/>
        <w:ind w:firstLine="420"/>
        <w:jc w:val="both"/>
      </w:pPr>
    </w:p>
    <w:p ns2:paraId="1ECABF05">
      <w:pPr>
        <w:spacing w:before="0" w:after="0" w:line="420" w:lineRule="auto"/>
        <w:ind w:firstLine="420"/>
        <w:jc w:val="both"/>
      </w:pPr>
    </w:p>
    <w:p ns2:paraId="45FA0671">
      <w:pPr>
        <w:spacing w:before="0" w:after="0" w:line="420" w:lineRule="auto"/>
        <w:ind w:firstLine="420"/>
        <w:jc w:val="both"/>
      </w:pPr>
    </w:p>
    <w:p ns2:paraId="1A3B8C3A">
      <w:pPr>
        <w:spacing w:before="0" w:after="0" w:line="420" w:lineRule="auto"/>
        <w:ind w:firstLine="420"/>
        <w:jc w:val="both"/>
      </w:pPr>
    </w:p>
    <w:p ns2:paraId="7BA403B2">
      <w:pPr>
        <w:spacing w:before="0" w:after="0" w:line="420" w:lineRule="auto"/>
        <w:ind w:firstLine="420"/>
        <w:jc w:val="both"/>
      </w:pPr>
    </w:p>
    <w:p ns2:paraId="3F4B0680">
      <w:pPr>
        <w:spacing w:before="0" w:after="0" w:line="420" w:lineRule="auto"/>
        <w:ind w:firstLine="420"/>
        <w:jc w:val="both"/>
      </w:pPr>
    </w:p>
    <w:p ns2:paraId="4FE3E300">
      <w:pPr>
        <w:spacing w:before="0" w:after="0" w:line="420" w:lineRule="auto"/>
        <w:ind w:firstLine="420"/>
        <w:jc w:val="both"/>
      </w:pPr>
    </w:p>
    <w:p ns2:paraId="316B083A">
      <w:pPr>
        <w:spacing w:before="0" w:after="0" w:line="420" w:lineRule="auto"/>
        <w:ind w:firstLine="420"/>
        <w:jc w:val="both"/>
      </w:pPr>
    </w:p>
    <w:p ns2:paraId="4BB0B8C1">
      <w:pPr>
        <w:spacing w:before="0" w:after="0" w:line="420" w:lineRule="auto"/>
        <w:ind w:firstLine="420"/>
        <w:jc w:val="both"/>
      </w:pPr>
    </w:p>
    <w:p ns2:paraId="5F72921B">
      <w:pPr>
        <w:spacing w:before="0" w:after="0" w:line="420" w:lineRule="auto"/>
        <w:ind w:firstLine="420"/>
        <w:jc w:val="both"/>
      </w:pPr>
    </w:p>
    <w:p ns2:paraId="7F4EB822">
      <w:pPr>
        <w:spacing w:before="0" w:after="0" w:line="420" w:lineRule="auto"/>
        <w:ind w:firstLine="420"/>
        <w:jc w:val="both"/>
      </w:pPr>
    </w:p>
    <w:p ns2:paraId="0095DCF9">
      <w:pPr>
        <w:spacing w:before="0" w:after="0" w:line="420" w:lineRule="auto"/>
        <w:ind w:firstLine="420"/>
        <w:jc w:val="both"/>
      </w:pPr>
    </w:p>
    <w:p ns2:paraId="75BD4D39">
      <w:pPr>
        <w:spacing w:before="0" w:after="0" w:line="420" w:lineRule="auto"/>
        <w:ind w:firstLine="420"/>
        <w:jc w:val="both"/>
      </w:pPr>
    </w:p>
    <w:p ns2:paraId="31405C7C">
      <w:pPr>
        <w:spacing w:before="0" w:after="0" w:line="420" w:lineRule="auto"/>
        <w:ind w:firstLine="420"/>
        <w:jc w:val="both"/>
      </w:pPr>
    </w:p>
    <w:p ns2:paraId="51FC0AF5">
      <w:pPr>
        <w:spacing w:before="0" w:after="0" w:line="420" w:lineRule="auto"/>
        <w:ind w:firstLine="420"/>
        <w:jc w:val="both"/>
      </w:pPr>
    </w:p>
    <w:p ns2:paraId="1D58A06F">
      <w:pPr>
        <w:spacing w:before="0" w:after="40" w:line="420" w:lineRule="auto"/>
        <w:jc w:val="center"/>
      </w:pPr>
      <w:r>
        <w:t>从公共管理角度看，这样的样本设计有两个直接含义。其一，本文所识别的并不是某一条单独政策文本的即时影响，而是地方政府在一定时期内制度表达、治理重心和改革推进共同作用下的省级治理结果。其二，主面板中的项目推进结构变化，必须被理解为政府治理过程变化的结果表现，而不是项目层零散信息的简单累积。</w:t>
      </w:r>
    </w:p>
    <w:tbl>
      <w:tblPr>
        <w:tblStyle w:val="2"/>
        <w:tblW w:w="9186"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609"/>
        <w:gridCol w:w="1521"/>
        <w:gridCol w:w="1516"/>
        <w:gridCol w:w="1512"/>
        <w:gridCol w:w="1516"/>
        <w:gridCol w:w="1512"/>
      </w:tblGrid>
      <w:tr ns2:paraId="5E484CC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1531"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0A97EA38">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项目/变量</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376C3A8F">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均值或数量</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21277667">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标准差</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7E1CE9D">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最小值</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6145E2D">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最大值</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085EFB5">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说明</w:t>
            </w:r>
          </w:p>
        </w:tc>
      </w:tr>
      <w:tr ns2:paraId="6686098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D601BB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样本期</w:t>
            </w: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5297B7ED">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2014—2022</w:t>
            </w: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2AB089CF">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536E9F58">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E382A48">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DF0CF3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V3主面板覆盖区间</w:t>
            </w:r>
          </w:p>
        </w:tc>
      </w:tr>
      <w:tr ns2:paraId="31BD053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52FD05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地区单元数</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7860BD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32</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F584685">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1643383">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02A5764">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6621CAB">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主面板地区数</w:t>
            </w:r>
          </w:p>
        </w:tc>
      </w:tr>
      <w:tr ns2:paraId="7EB4863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C68F17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正式回归地区数</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CDFA01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B0675C5">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5392A86">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C077BE2">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55BC79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表4有效地区数</w:t>
            </w:r>
          </w:p>
        </w:tc>
      </w:tr>
      <w:tr ns2:paraId="21AE468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817C1F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首次处理年：2016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AF0240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7DDF57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0F6B66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8F2FA60">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23D999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主要处理批次</w:t>
            </w:r>
          </w:p>
        </w:tc>
      </w:tr>
      <w:tr ns2:paraId="0ACB55C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B25C234">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首次处理年：2017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78043AE">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E3AAE17">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75726A8">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0450982">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7D8501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少量后续进入处理</w:t>
            </w:r>
          </w:p>
        </w:tc>
      </w:tr>
      <w:tr ns2:paraId="2AD1BF5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F3CA23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Never-treated地区</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BC4800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4265EB9">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016CB2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468D2CB">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3F9F035">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用于DID对照基准</w:t>
            </w:r>
          </w:p>
        </w:tc>
      </w:tr>
      <w:tr ns2:paraId="74399C5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70D7A4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treat_share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675C2D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0.3008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BBD490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0.2793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910816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C3059E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A6CC9B2">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1982E28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90ECC1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did_any</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51F9DF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0.7068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6E23DCF">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0.4561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1DC501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7B2585F">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C238B8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594D235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D63F80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did_intensity</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E94C67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0.2371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C358F0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0.2803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321D5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9658914">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3D7B23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1BB2598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2786AF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exec_share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7647CB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0.7061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E4F40C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0.3413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035F65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4C89E42">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12699B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53298738">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EE285C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proc_share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A4F484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0.2794</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C4A072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0.3440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557AD1B">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11F3C6B">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6D0526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599AD2E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1C93BF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prep_share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2D17752">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0.0145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76CCF7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0.0386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6EE124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5C79F7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0.3333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A7CD81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7C7BF34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C477A2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ppp_quality_zindex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29D638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0.0055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972555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0.4648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B86300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-2.8557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4E88523">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0.4246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C9FED75">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5F26F5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F1220F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A_idx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B60CD95">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27.5498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26A3D2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53.1080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C49B2F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D756754">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505.6180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297326F">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10626E7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D686AA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B_idx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101DAE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52.2510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379E87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53.6970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EECA6C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1B0E2B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363.2887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CC408A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4A44DF8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049F30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C_idx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00EB3F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143.9109</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AB0A81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106.9286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399CBC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0096C46">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380.7391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07443F6">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74CB22D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1C6C2E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51D2C8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29.5266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01A867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34.6515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378C7A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640DE93">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384.6154</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3D75F2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06B866D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7BEB454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doc_count</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2570C62">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4.9023</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1529DD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6.7822</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FC8FF3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7C6AA5D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42.0000</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05470A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bl>
    <w:p ns2:paraId="68357A71">
      <w:pPr>
        <w:spacing w:before="100" w:after="40" w:line="420" w:lineRule="auto"/>
        <w:jc w:val="left"/>
      </w:pPr>
      <w:r>
        <w:t>4.2 文本分析与变量落地</w:t>
      </w:r>
    </w:p>
    <w:p ns2:paraId="61F65DEB">
      <w:pPr>
        <w:spacing w:before="0" w:after="0" w:line="420" w:lineRule="auto"/>
        <w:ind w:firstLine="420"/>
        <w:jc w:val="both"/>
      </w:pPr>
      <w:r>
        <w: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文本分析的结果，只有在能够被稳定映射到这些治理维度，并进一步转化为省—年级变量后，才真正进入本文的实证框架。</w:t>
      </w:r>
    </w:p>
    <w:p ns2:paraId="52911E8E">
      <w:pPr>
        <w:spacing w:before="0" w:after="0" w:line="420" w:lineRule="auto"/>
        <w:ind w:firstLine="420"/>
        <w:jc w:val="both"/>
      </w:pPr>
      <w:r>
        <w:t>表2系统报告了政策文本分析框架、主题映射与变量落地关系。该表的重点不在于呈现方法流程本身，而在于说明文档级内容如何被转译为治理测度变量。具体而言，词典扩展用于识别四类治理维度的核心制度表达，主题识别用于辅助刻画不同政策议题的时间分布和结构差异，最终共同形成A、B、C、D指数以及主题占比等省—年级变量。本文在此基础上进一步将文本结果与主面板连接，使文本分析不再停留于“说了什么”，而是进入“如何测量治理能力、如何解释改革影响”的经验环节。</w:t>
      </w:r>
    </w:p>
    <w:p ns2:paraId="75C7868A">
      <w:pPr>
        <w:spacing w:before="0" w:after="0" w:line="420" w:lineRule="auto"/>
        <w:ind w:firstLine="420"/>
        <w:jc w:val="both"/>
      </w:pPr>
    </w:p>
    <w:p ns2:paraId="112EFDEB">
      <w:pPr>
        <w:spacing w:before="0" w:after="0" w:line="420" w:lineRule="auto"/>
        <w:ind w:firstLine="420"/>
        <w:jc w:val="both"/>
      </w:pPr>
    </w:p>
    <w:p ns2:paraId="66029298">
      <w:pPr>
        <w:spacing w:before="0" w:after="0" w:line="420" w:lineRule="auto"/>
        <w:ind w:firstLine="420"/>
        <w:jc w:val="both"/>
      </w:pPr>
    </w:p>
    <w:p ns2:paraId="4127FEE5">
      <w:pPr>
        <w:spacing w:before="0" w:after="0" w:line="420" w:lineRule="auto"/>
        <w:ind w:firstLine="420"/>
        <w:jc w:val="both"/>
      </w:pPr>
    </w:p>
    <w:p ns2:paraId="1532047E">
      <w:pPr>
        <w:spacing w:before="0" w:after="0" w:line="420" w:lineRule="auto"/>
        <w:ind w:firstLine="420"/>
        <w:jc w:val="both"/>
      </w:pPr>
    </w:p>
    <w:p ns2:paraId="4FD5D492">
      <w:pPr>
        <w:spacing w:before="0" w:after="0" w:line="420" w:lineRule="auto"/>
        <w:ind w:firstLine="420"/>
        <w:jc w:val="both"/>
      </w:pPr>
    </w:p>
    <w:p ns2:paraId="55E91CA8">
      <w:pPr>
        <w:spacing w:before="0" w:after="0" w:line="420" w:lineRule="auto"/>
        <w:ind w:firstLine="420"/>
        <w:jc w:val="both"/>
      </w:pPr>
    </w:p>
    <w:p ns2:paraId="726CAFC3">
      <w:pPr>
        <w:spacing w:before="0" w:after="0" w:line="420" w:lineRule="auto"/>
        <w:ind w:firstLine="420"/>
        <w:jc w:val="both"/>
      </w:pPr>
    </w:p>
    <w:p ns2:paraId="5D053928">
      <w:pPr>
        <w:spacing w:before="0" w:after="0" w:line="420" w:lineRule="auto"/>
        <w:ind w:firstLine="420"/>
        <w:jc w:val="both"/>
      </w:pPr>
    </w:p>
    <w:p ns2:paraId="2DC54A27">
      <w:pPr>
        <w:spacing w:before="0" w:after="0" w:line="420" w:lineRule="auto"/>
        <w:ind w:firstLine="420"/>
        <w:jc w:val="both"/>
      </w:pPr>
    </w:p>
    <w:p ns2:paraId="517AD08C">
      <w:pPr>
        <w:spacing w:before="0" w:after="0" w:line="420" w:lineRule="auto"/>
        <w:ind w:firstLine="420"/>
        <w:jc w:val="both"/>
      </w:pPr>
    </w:p>
    <w:p ns2:paraId="4ECA8209">
      <w:pPr>
        <w:spacing w:before="0" w:after="0" w:line="420" w:lineRule="auto"/>
        <w:ind w:firstLine="420"/>
        <w:jc w:val="both"/>
      </w:pPr>
    </w:p>
    <w:p ns2:paraId="713622C7">
      <w:pPr>
        <w:spacing w:before="0" w:after="40" w:line="420" w:lineRule="auto"/>
        <w:jc w:val="center"/>
      </w:pPr>
      <w:r>
        <w:t>为了更直观地呈现这一过程，图1给出了政策文本构造与治理能力测度总览。图中同时展示了语料规模、文本覆盖、A/B/C/D维度路径和主题热度分布，其作用不是重复表2，而是用一张图把“语料规模—治理维度—变量工程”三者之间的关系压缩在同一视觉框架中。对本文而言，这张图承担的是研究设计中的核心桥梁功能：它表明文本分析并非附属性装饰，而是主面板治理测度形成的上游环节；但与此同时，它并不承担因果识别任务，也不能替代后文的多期DID/TWFE估计。</w:t>
      </w:r>
    </w:p>
    <w:p ns2:paraId="4B59D11A">
      <w:r>
        <w:t>Panel A 代码本与二级主题框架</w:t>
      </w:r>
    </w:p>
    <w:tbl>
      <w:tblPr>
        <w:tblStyle w:val="2"/>
        <w:tblW w:w="87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38"/>
        <w:gridCol w:w="938"/>
        <w:gridCol w:w="1462"/>
        <w:gridCol w:w="1956"/>
        <w:gridCol w:w="2078"/>
        <w:gridCol w:w="1358"/>
      </w:tblGrid>
      <w:tr ns2:paraId="2D65E7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938" w:type="dxa"/>
            <w:tcBorders>
              <w:top w:val="single" w:color="auto" w:sz="12" w:space="0"/>
              <w:left w:val="nil"/>
              <w:bottom w:val="nil"/>
              <w:right w:val="nil"/>
            </w:tcBorders>
            <w:noWrap w:val="0"/>
            <w:tcMar>
              <w:top w:w="40" w:type="dxa"/>
              <w:left w:w="50" w:type="dxa"/>
              <w:bottom w:w="40" w:type="dxa"/>
              <w:right w:w="50" w:type="dxa"/>
            </w:tcMar>
            <w:vAlign w:val="center"/>
          </w:tcPr>
          <w:p ns2:paraId="745C5D85">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一级主题</w:t>
            </w:r>
          </w:p>
        </w:tc>
        <w:tc>
          <w:tcPr>
            <w:tcW w:w="938" w:type="dxa"/>
            <w:tcBorders>
              <w:top w:val="single" w:color="auto" w:sz="12" w:space="0"/>
              <w:left w:val="nil"/>
              <w:bottom w:val="nil"/>
              <w:right w:val="nil"/>
            </w:tcBorders>
            <w:noWrap w:val="0"/>
            <w:tcMar>
              <w:top w:w="40" w:type="dxa"/>
              <w:left w:w="50" w:type="dxa"/>
              <w:bottom w:w="40" w:type="dxa"/>
              <w:right w:w="50" w:type="dxa"/>
            </w:tcMar>
            <w:vAlign w:val="center"/>
          </w:tcPr>
          <w:p ns2:paraId="71E34FA5">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二级代码</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ns2:paraId="7AE17722">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二级主题名称</w:t>
            </w:r>
          </w:p>
        </w:tc>
        <w:tc>
          <w:tcPr>
            <w:tcW w:w="1956" w:type="dxa"/>
            <w:tcBorders>
              <w:top w:val="single" w:color="auto" w:sz="12" w:space="0"/>
              <w:left w:val="nil"/>
              <w:bottom w:val="nil"/>
              <w:right w:val="nil"/>
            </w:tcBorders>
            <w:noWrap w:val="0"/>
            <w:tcMar>
              <w:top w:w="40" w:type="dxa"/>
              <w:left w:w="50" w:type="dxa"/>
              <w:bottom w:w="40" w:type="dxa"/>
              <w:right w:w="50" w:type="dxa"/>
            </w:tcMar>
            <w:vAlign w:val="center"/>
          </w:tcPr>
          <w:p ns2:paraId="7A83A86E">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操作性定义（简写）</w:t>
            </w:r>
          </w:p>
        </w:tc>
        <w:tc>
          <w:tcPr>
            <w:tcW w:w="2078" w:type="dxa"/>
            <w:tcBorders>
              <w:top w:val="single" w:color="auto" w:sz="12" w:space="0"/>
              <w:left w:val="nil"/>
              <w:bottom w:val="nil"/>
              <w:right w:val="nil"/>
            </w:tcBorders>
            <w:noWrap w:val="0"/>
            <w:tcMar>
              <w:top w:w="40" w:type="dxa"/>
              <w:left w:w="50" w:type="dxa"/>
              <w:bottom w:w="40" w:type="dxa"/>
              <w:right w:w="50" w:type="dxa"/>
            </w:tcMar>
            <w:vAlign w:val="center"/>
          </w:tcPr>
          <w:p ns2:paraId="75FC5199">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典型触发词/短语（示例）</w:t>
            </w:r>
          </w:p>
        </w:tc>
        <w:tc>
          <w:tcPr>
            <w:tcW w:w="1358" w:type="dxa"/>
            <w:tcBorders>
              <w:top w:val="single" w:color="auto" w:sz="12" w:space="0"/>
              <w:left w:val="nil"/>
              <w:bottom w:val="nil"/>
              <w:right w:val="nil"/>
            </w:tcBorders>
            <w:noWrap w:val="0"/>
            <w:tcMar>
              <w:top w:w="40" w:type="dxa"/>
              <w:left w:w="50" w:type="dxa"/>
              <w:bottom w:w="40" w:type="dxa"/>
              <w:right w:w="50" w:type="dxa"/>
            </w:tcMar>
            <w:vAlign w:val="center"/>
          </w:tcPr>
          <w:p ns2:paraId="59BD6881">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后续变量映射</w:t>
            </w:r>
          </w:p>
        </w:tc>
      </w:tr>
      <w:tr ns2:paraId="78195F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single" w:color="auto" w:sz="4" w:space="0"/>
              <w:left w:val="nil"/>
              <w:bottom w:val="nil"/>
              <w:right w:val="nil"/>
            </w:tcBorders>
            <w:noWrap w:val="0"/>
            <w:tcMar>
              <w:top w:w="40" w:type="dxa"/>
              <w:left w:w="50" w:type="dxa"/>
              <w:bottom w:w="40" w:type="dxa"/>
              <w:right w:w="50" w:type="dxa"/>
            </w:tcMar>
            <w:vAlign w:val="center"/>
          </w:tcPr>
          <w:p ns2:paraId="16215BE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single" w:color="auto" w:sz="4" w:space="0"/>
              <w:left w:val="nil"/>
              <w:bottom w:val="nil"/>
              <w:right w:val="nil"/>
            </w:tcBorders>
            <w:noWrap w:val="0"/>
            <w:tcMar>
              <w:top w:w="40" w:type="dxa"/>
              <w:left w:w="50" w:type="dxa"/>
              <w:bottom w:w="40" w:type="dxa"/>
              <w:right w:w="50" w:type="dxa"/>
            </w:tcMar>
            <w:vAlign w:val="center"/>
          </w:tcPr>
          <w:p ns2:paraId="55E38EC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A1</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ns2:paraId="588D68A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平台建设与在线办理</w:t>
            </w:r>
          </w:p>
        </w:tc>
        <w:tc>
          <w:tcPr>
            <w:tcW w:w="1956" w:type="dxa"/>
            <w:tcBorders>
              <w:top w:val="single" w:color="auto" w:sz="4" w:space="0"/>
              <w:left w:val="nil"/>
              <w:bottom w:val="nil"/>
              <w:right w:val="nil"/>
            </w:tcBorders>
            <w:noWrap w:val="0"/>
            <w:tcMar>
              <w:top w:w="40" w:type="dxa"/>
              <w:left w:w="50" w:type="dxa"/>
              <w:bottom w:w="40" w:type="dxa"/>
              <w:right w:w="50" w:type="dxa"/>
            </w:tcMar>
            <w:vAlign w:val="center"/>
          </w:tcPr>
          <w:p ns2:paraId="005A375B">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PPP管理、审批、受理、流程办理的线上平台化表达</w:t>
            </w:r>
          </w:p>
        </w:tc>
        <w:tc>
          <w:tcPr>
            <w:tcW w:w="2078" w:type="dxa"/>
            <w:tcBorders>
              <w:top w:val="single" w:color="auto" w:sz="4" w:space="0"/>
              <w:left w:val="nil"/>
              <w:bottom w:val="nil"/>
              <w:right w:val="nil"/>
            </w:tcBorders>
            <w:noWrap w:val="0"/>
            <w:tcMar>
              <w:top w:w="40" w:type="dxa"/>
              <w:left w:w="50" w:type="dxa"/>
              <w:bottom w:w="40" w:type="dxa"/>
              <w:right w:w="50" w:type="dxa"/>
            </w:tcMar>
            <w:vAlign w:val="center"/>
          </w:tcPr>
          <w:p ns2:paraId="593937D4">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平台、系统、在线办理、网上审批、一网通办</w:t>
            </w:r>
          </w:p>
        </w:tc>
        <w:tc>
          <w:tcPr>
            <w:tcW w:w="1358" w:type="dxa"/>
            <w:tcBorders>
              <w:top w:val="single" w:color="auto" w:sz="4" w:space="0"/>
              <w:left w:val="nil"/>
              <w:bottom w:val="nil"/>
              <w:right w:val="nil"/>
            </w:tcBorders>
            <w:noWrap w:val="0"/>
            <w:tcMar>
              <w:top w:w="40" w:type="dxa"/>
              <w:left w:w="50" w:type="dxa"/>
              <w:bottom w:w="40" w:type="dxa"/>
              <w:right w:w="50" w:type="dxa"/>
            </w:tcMar>
            <w:vAlign w:val="center"/>
          </w:tcPr>
          <w:p ns2:paraId="5F474AF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A1_idx / A_idx</w:t>
            </w:r>
          </w:p>
        </w:tc>
      </w:tr>
      <w:tr ns2:paraId="6D4F33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14F47C64">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nil"/>
              <w:left w:val="nil"/>
              <w:bottom w:val="nil"/>
              <w:right w:val="nil"/>
            </w:tcBorders>
            <w:noWrap w:val="0"/>
            <w:tcMar>
              <w:top w:w="40" w:type="dxa"/>
              <w:left w:w="50" w:type="dxa"/>
              <w:bottom w:w="40" w:type="dxa"/>
              <w:right w:w="50" w:type="dxa"/>
            </w:tcMar>
            <w:vAlign w:val="center"/>
          </w:tcPr>
          <w:p ns2:paraId="0385F30D">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A2</w:t>
            </w:r>
          </w:p>
        </w:tc>
        <w:tc>
          <w:tcPr>
            <w:tcW w:w="0" w:type="auto"/>
            <w:tcBorders>
              <w:top w:val="nil"/>
              <w:left w:val="nil"/>
              <w:bottom w:val="nil"/>
              <w:right w:val="nil"/>
            </w:tcBorders>
            <w:noWrap w:val="0"/>
            <w:tcMar>
              <w:top w:w="40" w:type="dxa"/>
              <w:left w:w="50" w:type="dxa"/>
              <w:bottom w:w="40" w:type="dxa"/>
              <w:right w:w="50" w:type="dxa"/>
            </w:tcMar>
            <w:vAlign w:val="center"/>
          </w:tcPr>
          <w:p ns2:paraId="2E913B1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数据共享与动态报送</w:t>
            </w:r>
          </w:p>
        </w:tc>
        <w:tc>
          <w:tcPr>
            <w:tcW w:w="1956" w:type="dxa"/>
            <w:tcBorders>
              <w:top w:val="nil"/>
              <w:left w:val="nil"/>
              <w:bottom w:val="nil"/>
              <w:right w:val="nil"/>
            </w:tcBorders>
            <w:noWrap w:val="0"/>
            <w:tcMar>
              <w:top w:w="40" w:type="dxa"/>
              <w:left w:w="50" w:type="dxa"/>
              <w:bottom w:w="40" w:type="dxa"/>
              <w:right w:w="50" w:type="dxa"/>
            </w:tcMar>
            <w:vAlign w:val="center"/>
          </w:tcPr>
          <w:p ns2:paraId="606B9035">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跨部门数据共享、动态更新、监测台账、接口对接</w:t>
            </w:r>
          </w:p>
        </w:tc>
        <w:tc>
          <w:tcPr>
            <w:tcW w:w="2078" w:type="dxa"/>
            <w:tcBorders>
              <w:top w:val="nil"/>
              <w:left w:val="nil"/>
              <w:bottom w:val="nil"/>
              <w:right w:val="nil"/>
            </w:tcBorders>
            <w:noWrap w:val="0"/>
            <w:tcMar>
              <w:top w:w="40" w:type="dxa"/>
              <w:left w:w="50" w:type="dxa"/>
              <w:bottom w:w="40" w:type="dxa"/>
              <w:right w:w="50" w:type="dxa"/>
            </w:tcMar>
            <w:vAlign w:val="center"/>
          </w:tcPr>
          <w:p ns2:paraId="288DD95A">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数据共享、归集、动态报送、数据接口、互联互通</w:t>
            </w:r>
          </w:p>
        </w:tc>
        <w:tc>
          <w:tcPr>
            <w:tcW w:w="1358" w:type="dxa"/>
            <w:tcBorders>
              <w:top w:val="nil"/>
              <w:left w:val="nil"/>
              <w:bottom w:val="nil"/>
              <w:right w:val="nil"/>
            </w:tcBorders>
            <w:noWrap w:val="0"/>
            <w:tcMar>
              <w:top w:w="40" w:type="dxa"/>
              <w:left w:w="50" w:type="dxa"/>
              <w:bottom w:w="40" w:type="dxa"/>
              <w:right w:w="50" w:type="dxa"/>
            </w:tcMar>
            <w:vAlign w:val="center"/>
          </w:tcPr>
          <w:p ns2:paraId="746D468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A2_idx / A_idx</w:t>
            </w:r>
          </w:p>
        </w:tc>
      </w:tr>
      <w:tr ns2:paraId="1CFB5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752F5ED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nil"/>
              <w:left w:val="nil"/>
              <w:bottom w:val="nil"/>
              <w:right w:val="nil"/>
            </w:tcBorders>
            <w:noWrap w:val="0"/>
            <w:tcMar>
              <w:top w:w="40" w:type="dxa"/>
              <w:left w:w="50" w:type="dxa"/>
              <w:bottom w:w="40" w:type="dxa"/>
              <w:right w:w="50" w:type="dxa"/>
            </w:tcMar>
            <w:vAlign w:val="center"/>
          </w:tcPr>
          <w:p ns2:paraId="62B25675">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A3</w:t>
            </w:r>
          </w:p>
        </w:tc>
        <w:tc>
          <w:tcPr>
            <w:tcW w:w="0" w:type="auto"/>
            <w:tcBorders>
              <w:top w:val="nil"/>
              <w:left w:val="nil"/>
              <w:bottom w:val="nil"/>
              <w:right w:val="nil"/>
            </w:tcBorders>
            <w:noWrap w:val="0"/>
            <w:tcMar>
              <w:top w:w="40" w:type="dxa"/>
              <w:left w:w="50" w:type="dxa"/>
              <w:bottom w:w="40" w:type="dxa"/>
              <w:right w:w="50" w:type="dxa"/>
            </w:tcMar>
            <w:vAlign w:val="center"/>
          </w:tcPr>
          <w:p ns2:paraId="0D01FD6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信息公开与透明协同</w:t>
            </w:r>
          </w:p>
        </w:tc>
        <w:tc>
          <w:tcPr>
            <w:tcW w:w="1956" w:type="dxa"/>
            <w:tcBorders>
              <w:top w:val="nil"/>
              <w:left w:val="nil"/>
              <w:bottom w:val="nil"/>
              <w:right w:val="nil"/>
            </w:tcBorders>
            <w:noWrap w:val="0"/>
            <w:tcMar>
              <w:top w:w="40" w:type="dxa"/>
              <w:left w:w="50" w:type="dxa"/>
              <w:bottom w:w="40" w:type="dxa"/>
              <w:right w:w="50" w:type="dxa"/>
            </w:tcMar>
            <w:vAlign w:val="center"/>
          </w:tcPr>
          <w:p ns2:paraId="102BC89D">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项目公示、披露、过程透明、社会监督便利性</w:t>
            </w:r>
          </w:p>
        </w:tc>
        <w:tc>
          <w:tcPr>
            <w:tcW w:w="2078" w:type="dxa"/>
            <w:tcBorders>
              <w:top w:val="nil"/>
              <w:left w:val="nil"/>
              <w:bottom w:val="nil"/>
              <w:right w:val="nil"/>
            </w:tcBorders>
            <w:noWrap w:val="0"/>
            <w:tcMar>
              <w:top w:w="40" w:type="dxa"/>
              <w:left w:w="50" w:type="dxa"/>
              <w:bottom w:w="40" w:type="dxa"/>
              <w:right w:w="50" w:type="dxa"/>
            </w:tcMar>
            <w:vAlign w:val="center"/>
          </w:tcPr>
          <w:p ns2:paraId="72726F2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信息公开、公示、披露、透明、公告、社会监督</w:t>
            </w:r>
          </w:p>
        </w:tc>
        <w:tc>
          <w:tcPr>
            <w:tcW w:w="1358" w:type="dxa"/>
            <w:tcBorders>
              <w:top w:val="nil"/>
              <w:left w:val="nil"/>
              <w:bottom w:val="nil"/>
              <w:right w:val="nil"/>
            </w:tcBorders>
            <w:noWrap w:val="0"/>
            <w:tcMar>
              <w:top w:w="40" w:type="dxa"/>
              <w:left w:w="50" w:type="dxa"/>
              <w:bottom w:w="40" w:type="dxa"/>
              <w:right w:w="50" w:type="dxa"/>
            </w:tcMar>
            <w:vAlign w:val="center"/>
          </w:tcPr>
          <w:p ns2:paraId="5F25CEF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A3_idx / A_idx</w:t>
            </w:r>
          </w:p>
        </w:tc>
      </w:tr>
      <w:tr ns2:paraId="31C086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2CD84CE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ns2:paraId="5FD79B8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B1</w:t>
            </w:r>
          </w:p>
        </w:tc>
        <w:tc>
          <w:tcPr>
            <w:tcW w:w="0" w:type="auto"/>
            <w:tcBorders>
              <w:top w:val="nil"/>
              <w:left w:val="nil"/>
              <w:bottom w:val="nil"/>
              <w:right w:val="nil"/>
            </w:tcBorders>
            <w:noWrap w:val="0"/>
            <w:tcMar>
              <w:top w:w="40" w:type="dxa"/>
              <w:left w:w="50" w:type="dxa"/>
              <w:bottom w:w="40" w:type="dxa"/>
              <w:right w:w="50" w:type="dxa"/>
            </w:tcMar>
            <w:vAlign w:val="center"/>
          </w:tcPr>
          <w:p ns2:paraId="48BBBA7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项目识别、筛选与入库</w:t>
            </w:r>
          </w:p>
        </w:tc>
        <w:tc>
          <w:tcPr>
            <w:tcW w:w="1956" w:type="dxa"/>
            <w:tcBorders>
              <w:top w:val="nil"/>
              <w:left w:val="nil"/>
              <w:bottom w:val="nil"/>
              <w:right w:val="nil"/>
            </w:tcBorders>
            <w:noWrap w:val="0"/>
            <w:tcMar>
              <w:top w:w="40" w:type="dxa"/>
              <w:left w:w="50" w:type="dxa"/>
              <w:bottom w:w="40" w:type="dxa"/>
              <w:right w:w="50" w:type="dxa"/>
            </w:tcMar>
            <w:vAlign w:val="center"/>
          </w:tcPr>
          <w:p ns2:paraId="1F5BFB76">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PPP项目识别、储备、筛选、遴选、入库管理</w:t>
            </w:r>
          </w:p>
        </w:tc>
        <w:tc>
          <w:tcPr>
            <w:tcW w:w="2078" w:type="dxa"/>
            <w:tcBorders>
              <w:top w:val="nil"/>
              <w:left w:val="nil"/>
              <w:bottom w:val="nil"/>
              <w:right w:val="nil"/>
            </w:tcBorders>
            <w:noWrap w:val="0"/>
            <w:tcMar>
              <w:top w:w="40" w:type="dxa"/>
              <w:left w:w="50" w:type="dxa"/>
              <w:bottom w:w="40" w:type="dxa"/>
              <w:right w:w="50" w:type="dxa"/>
            </w:tcMar>
            <w:vAlign w:val="center"/>
          </w:tcPr>
          <w:p ns2:paraId="20D083D5">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项目识别、项目储备库、入库、备选项目、适宜采用</w:t>
            </w:r>
          </w:p>
        </w:tc>
        <w:tc>
          <w:tcPr>
            <w:tcW w:w="1358" w:type="dxa"/>
            <w:tcBorders>
              <w:top w:val="nil"/>
              <w:left w:val="nil"/>
              <w:bottom w:val="nil"/>
              <w:right w:val="nil"/>
            </w:tcBorders>
            <w:noWrap w:val="0"/>
            <w:tcMar>
              <w:top w:w="40" w:type="dxa"/>
              <w:left w:w="50" w:type="dxa"/>
              <w:bottom w:w="40" w:type="dxa"/>
              <w:right w:w="50" w:type="dxa"/>
            </w:tcMar>
            <w:vAlign w:val="center"/>
          </w:tcPr>
          <w:p ns2:paraId="66A9FEC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B1_idx / B_idx</w:t>
            </w:r>
          </w:p>
        </w:tc>
      </w:tr>
      <w:tr ns2:paraId="6D2AB3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149D4C1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ns2:paraId="5AB6DFA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B2</w:t>
            </w:r>
          </w:p>
        </w:tc>
        <w:tc>
          <w:tcPr>
            <w:tcW w:w="0" w:type="auto"/>
            <w:tcBorders>
              <w:top w:val="nil"/>
              <w:left w:val="nil"/>
              <w:bottom w:val="nil"/>
              <w:right w:val="nil"/>
            </w:tcBorders>
            <w:noWrap w:val="0"/>
            <w:tcMar>
              <w:top w:w="40" w:type="dxa"/>
              <w:left w:w="50" w:type="dxa"/>
              <w:bottom w:w="40" w:type="dxa"/>
              <w:right w:w="50" w:type="dxa"/>
            </w:tcMar>
            <w:vAlign w:val="center"/>
          </w:tcPr>
          <w:p ns2:paraId="5B1EC31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财政承受能力与物有所值论证</w:t>
            </w:r>
          </w:p>
        </w:tc>
        <w:tc>
          <w:tcPr>
            <w:tcW w:w="1956" w:type="dxa"/>
            <w:tcBorders>
              <w:top w:val="nil"/>
              <w:left w:val="nil"/>
              <w:bottom w:val="nil"/>
              <w:right w:val="nil"/>
            </w:tcBorders>
            <w:noWrap w:val="0"/>
            <w:tcMar>
              <w:top w:w="40" w:type="dxa"/>
              <w:left w:w="50" w:type="dxa"/>
              <w:bottom w:w="40" w:type="dxa"/>
              <w:right w:w="50" w:type="dxa"/>
            </w:tcMar>
            <w:vAlign w:val="center"/>
          </w:tcPr>
          <w:p ns2:paraId="13EB8D7F">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财承、VFM、支出责任、预算约束与财务测算</w:t>
            </w:r>
          </w:p>
        </w:tc>
        <w:tc>
          <w:tcPr>
            <w:tcW w:w="2078" w:type="dxa"/>
            <w:tcBorders>
              <w:top w:val="nil"/>
              <w:left w:val="nil"/>
              <w:bottom w:val="nil"/>
              <w:right w:val="nil"/>
            </w:tcBorders>
            <w:noWrap w:val="0"/>
            <w:tcMar>
              <w:top w:w="40" w:type="dxa"/>
              <w:left w:w="50" w:type="dxa"/>
              <w:bottom w:w="40" w:type="dxa"/>
              <w:right w:w="50" w:type="dxa"/>
            </w:tcMar>
            <w:vAlign w:val="center"/>
          </w:tcPr>
          <w:p ns2:paraId="5CB660B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财政承受能力、物有所值、VFM、支出责任、预算约束</w:t>
            </w:r>
          </w:p>
        </w:tc>
        <w:tc>
          <w:tcPr>
            <w:tcW w:w="1358" w:type="dxa"/>
            <w:tcBorders>
              <w:top w:val="nil"/>
              <w:left w:val="nil"/>
              <w:bottom w:val="nil"/>
              <w:right w:val="nil"/>
            </w:tcBorders>
            <w:noWrap w:val="0"/>
            <w:tcMar>
              <w:top w:w="40" w:type="dxa"/>
              <w:left w:w="50" w:type="dxa"/>
              <w:bottom w:w="40" w:type="dxa"/>
              <w:right w:w="50" w:type="dxa"/>
            </w:tcMar>
            <w:vAlign w:val="center"/>
          </w:tcPr>
          <w:p ns2:paraId="17C1902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B2_idx / B_idx</w:t>
            </w:r>
          </w:p>
        </w:tc>
      </w:tr>
      <w:tr ns2:paraId="3B5121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48A327A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ns2:paraId="431BEAC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B3</w:t>
            </w:r>
          </w:p>
        </w:tc>
        <w:tc>
          <w:tcPr>
            <w:tcW w:w="0" w:type="auto"/>
            <w:tcBorders>
              <w:top w:val="nil"/>
              <w:left w:val="nil"/>
              <w:bottom w:val="nil"/>
              <w:right w:val="nil"/>
            </w:tcBorders>
            <w:noWrap w:val="0"/>
            <w:tcMar>
              <w:top w:w="40" w:type="dxa"/>
              <w:left w:w="50" w:type="dxa"/>
              <w:bottom w:w="40" w:type="dxa"/>
              <w:right w:w="50" w:type="dxa"/>
            </w:tcMar>
            <w:vAlign w:val="center"/>
          </w:tcPr>
          <w:p ns2:paraId="7974685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实施方案设计与审批程序</w:t>
            </w:r>
          </w:p>
        </w:tc>
        <w:tc>
          <w:tcPr>
            <w:tcW w:w="1956" w:type="dxa"/>
            <w:tcBorders>
              <w:top w:val="nil"/>
              <w:left w:val="nil"/>
              <w:bottom w:val="nil"/>
              <w:right w:val="nil"/>
            </w:tcBorders>
            <w:noWrap w:val="0"/>
            <w:tcMar>
              <w:top w:w="40" w:type="dxa"/>
              <w:left w:w="50" w:type="dxa"/>
              <w:bottom w:w="40" w:type="dxa"/>
              <w:right w:w="50" w:type="dxa"/>
            </w:tcMar>
            <w:vAlign w:val="center"/>
          </w:tcPr>
          <w:p ns2:paraId="0C2B0F5C">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实施方案编制、审议、批复、备案、联审联批</w:t>
            </w:r>
          </w:p>
        </w:tc>
        <w:tc>
          <w:tcPr>
            <w:tcW w:w="2078" w:type="dxa"/>
            <w:tcBorders>
              <w:top w:val="nil"/>
              <w:left w:val="nil"/>
              <w:bottom w:val="nil"/>
              <w:right w:val="nil"/>
            </w:tcBorders>
            <w:noWrap w:val="0"/>
            <w:tcMar>
              <w:top w:w="40" w:type="dxa"/>
              <w:left w:w="50" w:type="dxa"/>
              <w:bottom w:w="40" w:type="dxa"/>
              <w:right w:w="50" w:type="dxa"/>
            </w:tcMar>
            <w:vAlign w:val="center"/>
          </w:tcPr>
          <w:p ns2:paraId="4F24E25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实施方案、审批程序、审议、批复、备案、论证</w:t>
            </w:r>
          </w:p>
        </w:tc>
        <w:tc>
          <w:tcPr>
            <w:tcW w:w="1358" w:type="dxa"/>
            <w:tcBorders>
              <w:top w:val="nil"/>
              <w:left w:val="nil"/>
              <w:bottom w:val="nil"/>
              <w:right w:val="nil"/>
            </w:tcBorders>
            <w:noWrap w:val="0"/>
            <w:tcMar>
              <w:top w:w="40" w:type="dxa"/>
              <w:left w:w="50" w:type="dxa"/>
              <w:bottom w:w="40" w:type="dxa"/>
              <w:right w:w="50" w:type="dxa"/>
            </w:tcMar>
            <w:vAlign w:val="center"/>
          </w:tcPr>
          <w:p ns2:paraId="2700B7ED">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B3_idx / B_idx</w:t>
            </w:r>
          </w:p>
        </w:tc>
      </w:tr>
      <w:tr ns2:paraId="421228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53A4EAD6">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ns2:paraId="4BF7E5E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C1</w:t>
            </w:r>
          </w:p>
        </w:tc>
        <w:tc>
          <w:tcPr>
            <w:tcW w:w="0" w:type="auto"/>
            <w:tcBorders>
              <w:top w:val="nil"/>
              <w:left w:val="nil"/>
              <w:bottom w:val="nil"/>
              <w:right w:val="nil"/>
            </w:tcBorders>
            <w:noWrap w:val="0"/>
            <w:tcMar>
              <w:top w:w="40" w:type="dxa"/>
              <w:left w:w="50" w:type="dxa"/>
              <w:bottom w:w="40" w:type="dxa"/>
              <w:right w:w="50" w:type="dxa"/>
            </w:tcMar>
            <w:vAlign w:val="center"/>
          </w:tcPr>
          <w:p ns2:paraId="2BB80A6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社会资本采购与竞争配置</w:t>
            </w:r>
          </w:p>
        </w:tc>
        <w:tc>
          <w:tcPr>
            <w:tcW w:w="1956" w:type="dxa"/>
            <w:tcBorders>
              <w:top w:val="nil"/>
              <w:left w:val="nil"/>
              <w:bottom w:val="nil"/>
              <w:right w:val="nil"/>
            </w:tcBorders>
            <w:noWrap w:val="0"/>
            <w:tcMar>
              <w:top w:w="40" w:type="dxa"/>
              <w:left w:w="50" w:type="dxa"/>
              <w:bottom w:w="40" w:type="dxa"/>
              <w:right w:w="50" w:type="dxa"/>
            </w:tcMar>
            <w:vAlign w:val="center"/>
          </w:tcPr>
          <w:p ns2:paraId="214A1645">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招标采购、资格预审、评标、中标与竞争配置</w:t>
            </w:r>
          </w:p>
        </w:tc>
        <w:tc>
          <w:tcPr>
            <w:tcW w:w="2078" w:type="dxa"/>
            <w:tcBorders>
              <w:top w:val="nil"/>
              <w:left w:val="nil"/>
              <w:bottom w:val="nil"/>
              <w:right w:val="nil"/>
            </w:tcBorders>
            <w:noWrap w:val="0"/>
            <w:tcMar>
              <w:top w:w="40" w:type="dxa"/>
              <w:left w:w="50" w:type="dxa"/>
              <w:bottom w:w="40" w:type="dxa"/>
              <w:right w:w="50" w:type="dxa"/>
            </w:tcMar>
            <w:vAlign w:val="center"/>
          </w:tcPr>
          <w:p ns2:paraId="0826A19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采购、公开招标、竞争性磋商、资格预审、中标</w:t>
            </w:r>
          </w:p>
        </w:tc>
        <w:tc>
          <w:tcPr>
            <w:tcW w:w="1358" w:type="dxa"/>
            <w:tcBorders>
              <w:top w:val="nil"/>
              <w:left w:val="nil"/>
              <w:bottom w:val="nil"/>
              <w:right w:val="nil"/>
            </w:tcBorders>
            <w:noWrap w:val="0"/>
            <w:tcMar>
              <w:top w:w="40" w:type="dxa"/>
              <w:left w:w="50" w:type="dxa"/>
              <w:bottom w:w="40" w:type="dxa"/>
              <w:right w:w="50" w:type="dxa"/>
            </w:tcMar>
            <w:vAlign w:val="center"/>
          </w:tcPr>
          <w:p ns2:paraId="0DC1D29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C1_idx / C_idx</w:t>
            </w:r>
          </w:p>
        </w:tc>
      </w:tr>
      <w:tr ns2:paraId="035027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6F8C712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ns2:paraId="30C7E01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C2</w:t>
            </w:r>
          </w:p>
        </w:tc>
        <w:tc>
          <w:tcPr>
            <w:tcW w:w="0" w:type="auto"/>
            <w:tcBorders>
              <w:top w:val="nil"/>
              <w:left w:val="nil"/>
              <w:bottom w:val="nil"/>
              <w:right w:val="nil"/>
            </w:tcBorders>
            <w:noWrap w:val="0"/>
            <w:tcMar>
              <w:top w:w="40" w:type="dxa"/>
              <w:left w:w="50" w:type="dxa"/>
              <w:bottom w:w="40" w:type="dxa"/>
              <w:right w:w="50" w:type="dxa"/>
            </w:tcMar>
            <w:vAlign w:val="center"/>
          </w:tcPr>
          <w:p ns2:paraId="7A0067F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合同设计、权责配置与收益安排</w:t>
            </w:r>
          </w:p>
        </w:tc>
        <w:tc>
          <w:tcPr>
            <w:tcW w:w="1956" w:type="dxa"/>
            <w:tcBorders>
              <w:top w:val="nil"/>
              <w:left w:val="nil"/>
              <w:bottom w:val="nil"/>
              <w:right w:val="nil"/>
            </w:tcBorders>
            <w:noWrap w:val="0"/>
            <w:tcMar>
              <w:top w:w="40" w:type="dxa"/>
              <w:left w:w="50" w:type="dxa"/>
              <w:bottom w:w="40" w:type="dxa"/>
              <w:right w:w="50" w:type="dxa"/>
            </w:tcMar>
            <w:vAlign w:val="center"/>
          </w:tcPr>
          <w:p ns2:paraId="718E9ABD">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PPP合同、风险分担、回报机制、付费方式、收益安排</w:t>
            </w:r>
          </w:p>
        </w:tc>
        <w:tc>
          <w:tcPr>
            <w:tcW w:w="2078" w:type="dxa"/>
            <w:tcBorders>
              <w:top w:val="nil"/>
              <w:left w:val="nil"/>
              <w:bottom w:val="nil"/>
              <w:right w:val="nil"/>
            </w:tcBorders>
            <w:noWrap w:val="0"/>
            <w:tcMar>
              <w:top w:w="40" w:type="dxa"/>
              <w:left w:w="50" w:type="dxa"/>
              <w:bottom w:w="40" w:type="dxa"/>
              <w:right w:w="50" w:type="dxa"/>
            </w:tcMar>
            <w:vAlign w:val="center"/>
          </w:tcPr>
          <w:p ns2:paraId="0FE8D8E6">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合同、权利义务、风险分担、回报机制、政府付费</w:t>
            </w:r>
          </w:p>
        </w:tc>
        <w:tc>
          <w:tcPr>
            <w:tcW w:w="1358" w:type="dxa"/>
            <w:tcBorders>
              <w:top w:val="nil"/>
              <w:left w:val="nil"/>
              <w:bottom w:val="nil"/>
              <w:right w:val="nil"/>
            </w:tcBorders>
            <w:noWrap w:val="0"/>
            <w:tcMar>
              <w:top w:w="40" w:type="dxa"/>
              <w:left w:w="50" w:type="dxa"/>
              <w:bottom w:w="40" w:type="dxa"/>
              <w:right w:w="50" w:type="dxa"/>
            </w:tcMar>
            <w:vAlign w:val="center"/>
          </w:tcPr>
          <w:p ns2:paraId="67915D8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C2_idx / C_idx</w:t>
            </w:r>
          </w:p>
        </w:tc>
      </w:tr>
      <w:tr ns2:paraId="7E4376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14AB805A">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ns2:paraId="2C1824B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C3</w:t>
            </w:r>
          </w:p>
        </w:tc>
        <w:tc>
          <w:tcPr>
            <w:tcW w:w="0" w:type="auto"/>
            <w:tcBorders>
              <w:top w:val="nil"/>
              <w:left w:val="nil"/>
              <w:bottom w:val="nil"/>
              <w:right w:val="nil"/>
            </w:tcBorders>
            <w:noWrap w:val="0"/>
            <w:tcMar>
              <w:top w:w="40" w:type="dxa"/>
              <w:left w:w="50" w:type="dxa"/>
              <w:bottom w:w="40" w:type="dxa"/>
              <w:right w:w="50" w:type="dxa"/>
            </w:tcMar>
            <w:vAlign w:val="center"/>
          </w:tcPr>
          <w:p ns2:paraId="6C80823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项目执行、绩效评价与运营维护</w:t>
            </w:r>
          </w:p>
        </w:tc>
        <w:tc>
          <w:tcPr>
            <w:tcW w:w="1956" w:type="dxa"/>
            <w:tcBorders>
              <w:top w:val="nil"/>
              <w:left w:val="nil"/>
              <w:bottom w:val="nil"/>
              <w:right w:val="nil"/>
            </w:tcBorders>
            <w:noWrap w:val="0"/>
            <w:tcMar>
              <w:top w:w="40" w:type="dxa"/>
              <w:left w:w="50" w:type="dxa"/>
              <w:bottom w:w="40" w:type="dxa"/>
              <w:right w:w="50" w:type="dxa"/>
            </w:tcMar>
            <w:vAlign w:val="center"/>
          </w:tcPr>
          <w:p ns2:paraId="4F0279B2">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项目实施、建设推进、运营管理、绩效考核、后评价</w:t>
            </w:r>
          </w:p>
        </w:tc>
        <w:tc>
          <w:tcPr>
            <w:tcW w:w="2078" w:type="dxa"/>
            <w:tcBorders>
              <w:top w:val="nil"/>
              <w:left w:val="nil"/>
              <w:bottom w:val="nil"/>
              <w:right w:val="nil"/>
            </w:tcBorders>
            <w:noWrap w:val="0"/>
            <w:tcMar>
              <w:top w:w="40" w:type="dxa"/>
              <w:left w:w="50" w:type="dxa"/>
              <w:bottom w:w="40" w:type="dxa"/>
              <w:right w:w="50" w:type="dxa"/>
            </w:tcMar>
            <w:vAlign w:val="center"/>
          </w:tcPr>
          <w:p ns2:paraId="02A29D7E">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实施、执行、推进、运营、维护、绩效评价、验收</w:t>
            </w:r>
          </w:p>
        </w:tc>
        <w:tc>
          <w:tcPr>
            <w:tcW w:w="1358" w:type="dxa"/>
            <w:tcBorders>
              <w:top w:val="nil"/>
              <w:left w:val="nil"/>
              <w:bottom w:val="nil"/>
              <w:right w:val="nil"/>
            </w:tcBorders>
            <w:noWrap w:val="0"/>
            <w:tcMar>
              <w:top w:w="40" w:type="dxa"/>
              <w:left w:w="50" w:type="dxa"/>
              <w:bottom w:w="40" w:type="dxa"/>
              <w:right w:w="50" w:type="dxa"/>
            </w:tcMar>
            <w:vAlign w:val="center"/>
          </w:tcPr>
          <w:p ns2:paraId="3ED9617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C3_idx / C_idx</w:t>
            </w:r>
          </w:p>
        </w:tc>
      </w:tr>
      <w:tr ns2:paraId="1F4BD8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2BD42CB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nil"/>
              <w:right w:val="nil"/>
            </w:tcBorders>
            <w:noWrap w:val="0"/>
            <w:tcMar>
              <w:top w:w="40" w:type="dxa"/>
              <w:left w:w="50" w:type="dxa"/>
              <w:bottom w:w="40" w:type="dxa"/>
              <w:right w:w="50" w:type="dxa"/>
            </w:tcMar>
            <w:vAlign w:val="center"/>
          </w:tcPr>
          <w:p ns2:paraId="25194BB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D1</w:t>
            </w:r>
          </w:p>
        </w:tc>
        <w:tc>
          <w:tcPr>
            <w:tcW w:w="0" w:type="auto"/>
            <w:tcBorders>
              <w:top w:val="nil"/>
              <w:left w:val="nil"/>
              <w:bottom w:val="nil"/>
              <w:right w:val="nil"/>
            </w:tcBorders>
            <w:noWrap w:val="0"/>
            <w:tcMar>
              <w:top w:w="40" w:type="dxa"/>
              <w:left w:w="50" w:type="dxa"/>
              <w:bottom w:w="40" w:type="dxa"/>
              <w:right w:w="50" w:type="dxa"/>
            </w:tcMar>
            <w:vAlign w:val="center"/>
          </w:tcPr>
          <w:p ns2:paraId="5D38B15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财政约束、债务底线与责任风险</w:t>
            </w:r>
          </w:p>
        </w:tc>
        <w:tc>
          <w:tcPr>
            <w:tcW w:w="1956" w:type="dxa"/>
            <w:tcBorders>
              <w:top w:val="nil"/>
              <w:left w:val="nil"/>
              <w:bottom w:val="nil"/>
              <w:right w:val="nil"/>
            </w:tcBorders>
            <w:noWrap w:val="0"/>
            <w:tcMar>
              <w:top w:w="40" w:type="dxa"/>
              <w:left w:w="50" w:type="dxa"/>
              <w:bottom w:w="40" w:type="dxa"/>
              <w:right w:w="50" w:type="dxa"/>
            </w:tcMar>
            <w:vAlign w:val="center"/>
          </w:tcPr>
          <w:p ns2:paraId="316699D2">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财政风险、债务约束、隐性债务、底线管理</w:t>
            </w:r>
          </w:p>
        </w:tc>
        <w:tc>
          <w:tcPr>
            <w:tcW w:w="2078" w:type="dxa"/>
            <w:tcBorders>
              <w:top w:val="nil"/>
              <w:left w:val="nil"/>
              <w:bottom w:val="nil"/>
              <w:right w:val="nil"/>
            </w:tcBorders>
            <w:noWrap w:val="0"/>
            <w:tcMar>
              <w:top w:w="40" w:type="dxa"/>
              <w:left w:w="50" w:type="dxa"/>
              <w:bottom w:w="40" w:type="dxa"/>
              <w:right w:w="50" w:type="dxa"/>
            </w:tcMar>
            <w:vAlign w:val="center"/>
          </w:tcPr>
          <w:p ns2:paraId="329DF10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财政风险、债务风险、隐性债务、底线管理、责任边界</w:t>
            </w:r>
          </w:p>
        </w:tc>
        <w:tc>
          <w:tcPr>
            <w:tcW w:w="1358" w:type="dxa"/>
            <w:tcBorders>
              <w:top w:val="nil"/>
              <w:left w:val="nil"/>
              <w:bottom w:val="nil"/>
              <w:right w:val="nil"/>
            </w:tcBorders>
            <w:noWrap w:val="0"/>
            <w:tcMar>
              <w:top w:w="40" w:type="dxa"/>
              <w:left w:w="50" w:type="dxa"/>
              <w:bottom w:w="40" w:type="dxa"/>
              <w:right w:w="50" w:type="dxa"/>
            </w:tcMar>
            <w:vAlign w:val="center"/>
          </w:tcPr>
          <w:p ns2:paraId="778DAA5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D1_idx / D_idx</w:t>
            </w:r>
          </w:p>
        </w:tc>
      </w:tr>
      <w:tr ns2:paraId="2215FA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21AD889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nil"/>
              <w:right w:val="nil"/>
            </w:tcBorders>
            <w:noWrap w:val="0"/>
            <w:tcMar>
              <w:top w:w="40" w:type="dxa"/>
              <w:left w:w="50" w:type="dxa"/>
              <w:bottom w:w="40" w:type="dxa"/>
              <w:right w:w="50" w:type="dxa"/>
            </w:tcMar>
            <w:vAlign w:val="center"/>
          </w:tcPr>
          <w:p ns2:paraId="24FF165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D2</w:t>
            </w:r>
          </w:p>
        </w:tc>
        <w:tc>
          <w:tcPr>
            <w:tcW w:w="0" w:type="auto"/>
            <w:tcBorders>
              <w:top w:val="nil"/>
              <w:left w:val="nil"/>
              <w:bottom w:val="nil"/>
              <w:right w:val="nil"/>
            </w:tcBorders>
            <w:noWrap w:val="0"/>
            <w:tcMar>
              <w:top w:w="40" w:type="dxa"/>
              <w:left w:w="50" w:type="dxa"/>
              <w:bottom w:w="40" w:type="dxa"/>
              <w:right w:w="50" w:type="dxa"/>
            </w:tcMar>
            <w:vAlign w:val="center"/>
          </w:tcPr>
          <w:p ns2:paraId="5640E6B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违约失灵、终止补偿与退出机制</w:t>
            </w:r>
          </w:p>
        </w:tc>
        <w:tc>
          <w:tcPr>
            <w:tcW w:w="1956" w:type="dxa"/>
            <w:tcBorders>
              <w:top w:val="nil"/>
              <w:left w:val="nil"/>
              <w:bottom w:val="nil"/>
              <w:right w:val="nil"/>
            </w:tcBorders>
            <w:noWrap w:val="0"/>
            <w:tcMar>
              <w:top w:w="40" w:type="dxa"/>
              <w:left w:w="50" w:type="dxa"/>
              <w:bottom w:w="40" w:type="dxa"/>
              <w:right w:w="50" w:type="dxa"/>
            </w:tcMar>
            <w:vAlign w:val="center"/>
          </w:tcPr>
          <w:p ns2:paraId="6EA3C543">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违约、提前终止、补偿、退出、重组与失败项目处置</w:t>
            </w:r>
          </w:p>
        </w:tc>
        <w:tc>
          <w:tcPr>
            <w:tcW w:w="2078" w:type="dxa"/>
            <w:tcBorders>
              <w:top w:val="nil"/>
              <w:left w:val="nil"/>
              <w:bottom w:val="nil"/>
              <w:right w:val="nil"/>
            </w:tcBorders>
            <w:noWrap w:val="0"/>
            <w:tcMar>
              <w:top w:w="40" w:type="dxa"/>
              <w:left w:w="50" w:type="dxa"/>
              <w:bottom w:w="40" w:type="dxa"/>
              <w:right w:w="50" w:type="dxa"/>
            </w:tcMar>
            <w:vAlign w:val="center"/>
          </w:tcPr>
          <w:p ns2:paraId="1C81854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违约、终止、补偿、退出、解约、清算、风险处置</w:t>
            </w:r>
          </w:p>
        </w:tc>
        <w:tc>
          <w:tcPr>
            <w:tcW w:w="1358" w:type="dxa"/>
            <w:tcBorders>
              <w:top w:val="nil"/>
              <w:left w:val="nil"/>
              <w:bottom w:val="nil"/>
              <w:right w:val="nil"/>
            </w:tcBorders>
            <w:noWrap w:val="0"/>
            <w:tcMar>
              <w:top w:w="40" w:type="dxa"/>
              <w:left w:w="50" w:type="dxa"/>
              <w:bottom w:w="40" w:type="dxa"/>
              <w:right w:w="50" w:type="dxa"/>
            </w:tcMar>
            <w:vAlign w:val="center"/>
          </w:tcPr>
          <w:p ns2:paraId="44376EC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D2_idx / D_idx</w:t>
            </w:r>
          </w:p>
        </w:tc>
      </w:tr>
      <w:tr ns2:paraId="1075E2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single" w:color="auto" w:sz="12" w:space="0"/>
              <w:right w:val="nil"/>
            </w:tcBorders>
            <w:noWrap w:val="0"/>
            <w:tcMar>
              <w:top w:w="40" w:type="dxa"/>
              <w:left w:w="50" w:type="dxa"/>
              <w:bottom w:w="40" w:type="dxa"/>
              <w:right w:w="50" w:type="dxa"/>
            </w:tcMar>
            <w:vAlign w:val="center"/>
          </w:tcPr>
          <w:p ns2:paraId="206E10D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single" w:color="auto" w:sz="12" w:space="0"/>
              <w:right w:val="nil"/>
            </w:tcBorders>
            <w:noWrap w:val="0"/>
            <w:tcMar>
              <w:top w:w="40" w:type="dxa"/>
              <w:left w:w="50" w:type="dxa"/>
              <w:bottom w:w="40" w:type="dxa"/>
              <w:right w:w="50" w:type="dxa"/>
            </w:tcMar>
            <w:vAlign w:val="center"/>
          </w:tcPr>
          <w:p ns2:paraId="0D1E66D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D3</w:t>
            </w:r>
          </w:p>
        </w:tc>
        <w:tc>
          <w:tcPr>
            <w:tcW w:w="1462" w:type="dxa"/>
            <w:tcBorders>
              <w:top w:val="nil"/>
              <w:left w:val="nil"/>
              <w:bottom w:val="single" w:color="auto" w:sz="12" w:space="0"/>
              <w:right w:val="nil"/>
            </w:tcBorders>
            <w:noWrap w:val="0"/>
            <w:tcMar>
              <w:top w:w="40" w:type="dxa"/>
              <w:left w:w="50" w:type="dxa"/>
              <w:bottom w:w="40" w:type="dxa"/>
              <w:right w:w="50" w:type="dxa"/>
            </w:tcMar>
            <w:vAlign w:val="center"/>
          </w:tcPr>
          <w:p ns2:paraId="4155960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监督检查、整改清退与问责纠偏</w:t>
            </w:r>
          </w:p>
        </w:tc>
        <w:tc>
          <w:tcPr>
            <w:tcW w:w="1956" w:type="dxa"/>
            <w:tcBorders>
              <w:top w:val="nil"/>
              <w:left w:val="nil"/>
              <w:bottom w:val="single" w:color="auto" w:sz="12" w:space="0"/>
              <w:right w:val="nil"/>
            </w:tcBorders>
            <w:noWrap w:val="0"/>
            <w:tcMar>
              <w:top w:w="40" w:type="dxa"/>
              <w:left w:w="50" w:type="dxa"/>
              <w:bottom w:w="40" w:type="dxa"/>
              <w:right w:w="50" w:type="dxa"/>
            </w:tcMar>
            <w:vAlign w:val="center"/>
          </w:tcPr>
          <w:p ns2:paraId="37C05E93">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监管、审计、整改、清退、责任追究与纠偏</w:t>
            </w:r>
          </w:p>
        </w:tc>
        <w:tc>
          <w:tcPr>
            <w:tcW w:w="2078" w:type="dxa"/>
            <w:tcBorders>
              <w:top w:val="nil"/>
              <w:left w:val="nil"/>
              <w:bottom w:val="single" w:color="auto" w:sz="12" w:space="0"/>
              <w:right w:val="nil"/>
            </w:tcBorders>
            <w:noWrap w:val="0"/>
            <w:tcMar>
              <w:top w:w="40" w:type="dxa"/>
              <w:left w:w="50" w:type="dxa"/>
              <w:bottom w:w="40" w:type="dxa"/>
              <w:right w:w="50" w:type="dxa"/>
            </w:tcMar>
            <w:vAlign w:val="center"/>
          </w:tcPr>
          <w:p ns2:paraId="62378D3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监管、审计、督查、整改、清退、问责、黑名单</w:t>
            </w:r>
          </w:p>
        </w:tc>
        <w:tc>
          <w:tcPr>
            <w:tcW w:w="1358" w:type="dxa"/>
            <w:tcBorders>
              <w:top w:val="nil"/>
              <w:left w:val="nil"/>
              <w:bottom w:val="single" w:color="auto" w:sz="12" w:space="0"/>
              <w:right w:val="nil"/>
            </w:tcBorders>
            <w:noWrap w:val="0"/>
            <w:tcMar>
              <w:top w:w="40" w:type="dxa"/>
              <w:left w:w="50" w:type="dxa"/>
              <w:bottom w:w="40" w:type="dxa"/>
              <w:right w:w="50" w:type="dxa"/>
            </w:tcMar>
            <w:vAlign w:val="center"/>
          </w:tcPr>
          <w:p ns2:paraId="34B5AA3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D3_idx / D_idx</w:t>
            </w:r>
          </w:p>
        </w:tc>
      </w:tr>
    </w:tbl>
    <w:p ns2:paraId="76019701">
      <w:pPr>
        <w:spacing w:before="0" w:after="0" w:line="420" w:lineRule="auto"/>
        <w:ind w:firstLine="420"/>
        <w:jc w:val="both"/>
      </w:pPr>
      <w:r>
        <w:t>结合政策文本量化与自动编码研究的进展可以看到，文本方法在公共管理研究中的合法性并不来自算法复杂度，而来自其是否能够稳定服务于制度测量。本文之所以使用主题映射、语义表示和自动编码，并不是为了把文本分析写成主模型，而是为了把政策语义压缩成可进入省级面板的治理测度变量，并为后文的机制解释提供更具可追踪性的制度维度。</w:t>
      </w:r>
    </w:p>
    <w:p ns2:paraId="61F15984">
      <w:pPr>
        <w:spacing w:before="60" w:after="60" w:line="360" w:lineRule="auto"/>
        <w:jc w:val="center"/>
      </w:pPr>
      <w:r>
        <w:drawing>
          <ns3:inline distT="0" distB="0" distL="0" distR="0">
            <ns3:extent cx="5577840" cy="3818890"/>
            <ns3:effectExtent l="0" t="0" r="0" b="0"/>
            <ns3:docPr id="1" name="image1.png"/>
            <ns3:cNvGraphicFramePr>
              <ns4:graphicFrameLocks noChangeAspect="1"/>
            </ns3:cNvGraphicFramePr>
            <ns4:graphic>
              <ns4:graphicData uri="http://schemas.openxmlformats.org/drawingml/2006/picture">
                <ns5:pic>
                  <ns5:nvPicPr>
                    <ns5:cNvPr id="1" name="image1.png"/>
                    <ns5:cNvPicPr>
                      <ns4:picLocks noChangeAspect="1"/>
                    </ns5:cNvPicPr>
                  </ns5:nvPicPr>
                  <ns5:blipFill>
                    <ns4:blip ns6:embed="rId4"/>
                    <ns4:stretch>
                      <ns4:fillRect/>
                    </ns4:stretch>
                  </ns5:blipFill>
                  <ns5:spPr>
                    <ns4:xfrm>
                      <ns4:off x="0" y="0"/>
                      <ns4:ext cx="5577840" cy="3819357"/>
                    </ns4:xfrm>
                    <ns4:prstGeom prst="rect">
                      <ns4:avLst/>
                    </ns4:prstGeom>
                  </ns5:spPr>
                </ns5:pic>
              </ns4:graphicData>
            </ns4:graphic>
          </ns3:inline>
        </w:drawing>
      </w:r>
    </w:p>
    <w:p ns2:paraId="408A08DA">
      <w:pPr>
        <w:spacing w:before="0" w:after="60" w:line="420" w:lineRule="auto"/>
        <w:jc w:val="center"/>
      </w:pPr>
      <w:r>
        <w:t>图1与表2共同说明了本文在研究设计上的一个基本立场：文本分析的价值不在于方法本身是否复杂，而在于它是否能够被组织成可核查、可聚合、可进入正式识别框架的治理测度。也正因如此，本文对BERTopic、词典扩展和相关文本处理方法的讨论，都严格控制在变量工程和机制解释所需的范围内，而不把它们写成主模型或主识别设计。</w:t>
      </w:r>
    </w:p>
    <w:p ns2:paraId="472CB685">
      <w:pPr>
        <w:spacing w:before="60" w:after="60" w:line="360" w:lineRule="auto"/>
        <w:jc w:val="center"/>
      </w:pPr>
      <w:r>
        <w:drawing>
          <ns3:inline distT="0" distB="0" distL="0" distR="0">
            <ns3:extent cx="5577840" cy="4684395"/>
            <ns3:effectExtent l="0" t="0" r="0" b="0"/>
            <ns3:docPr id="2" name="image2.png"/>
            <ns3:cNvGraphicFramePr>
              <ns4:graphicFrameLocks noChangeAspect="1"/>
            </ns3:cNvGraphicFramePr>
            <ns4:graphic>
              <ns4:graphicData uri="http://schemas.openxmlformats.org/drawingml/2006/picture">
                <ns5:pic>
                  <ns5:nvPicPr>
                    <ns5:cNvPr id="2" name="image2.png"/>
                    <ns5:cNvPicPr>
                      <ns4:picLocks noChangeAspect="1"/>
                    </ns5:cNvPicPr>
                  </ns5:nvPicPr>
                  <ns5:blipFill>
                    <ns4:blip ns6:embed="rId5"/>
                    <ns4:stretch>
                      <ns4:fillRect/>
                    </ns4:stretch>
                  </ns5:blipFill>
                  <ns5:spPr>
                    <ns4:xfrm>
                      <ns4:off x="0" y="0"/>
                      <ns4:ext cx="5577840" cy="4684836"/>
                    </ns4:xfrm>
                    <ns4:prstGeom prst="rect">
                      <ns4:avLst/>
                    </ns4:prstGeom>
                  </ns5:spPr>
                </ns5:pic>
              </ns4:graphicData>
            </ns4:graphic>
          </ns3:inline>
        </w:drawing>
      </w:r>
    </w:p>
    <w:p ns2:paraId="6620257A">
      <w:pPr>
        <w:spacing w:before="100" w:after="40" w:line="420" w:lineRule="auto"/>
        <w:jc w:val="left"/>
      </w:pPr>
      <w:r>
        <w:t>4.3 处理变量、结果变量与控制变量</w:t>
      </w:r>
    </w:p>
    <w:p ns2:paraId="77BE2D78">
      <w:pPr>
        <w:spacing w:before="0" w:after="0" w:line="420" w:lineRule="auto"/>
        <w:ind w:firstLine="420"/>
        <w:jc w:val="both"/>
      </w:pPr>
      <w:r>
        <w:t xml:space="preserve">在主识别部分，本文的核心处理变量是 treat_share。该变量以省—年为单位，由城市—年处理字段聚合而成，用于度量某一省份在某一年份受到数字化改革覆盖的处理强度。其精确定义和替代处理口径如下列公式编辑器对象所示；后两者仅作为替代处理口径或稳健性检验使用，不进入全文主结论。</w:t>
      </w:r>
    </w:p>
    <w:p>
      <w:pPr>
        <w:jc w:val="center"/>
      </w:pPr>
      <m:oMathPara>
        <m:oMath>
          <m:r>
            <m:t>treat_shareₚₜ = treated_city_countₚₜ / city_nₚₜ</m:t>
          </m:r>
        </m:oMath>
      </m:oMathPara>
    </w:p>
    <w:p>
      <w:pPr>
        <w:jc w:val="center"/>
      </w:pPr>
      <m:oMathPara>
        <m:oMath>
          <m:r>
            <m:t>did_intensityₚₜ = postₜ × treat_shareₚₜ</m:t>
          </m:r>
        </m:oMath>
      </m:oMathPara>
    </w:p>
    <w:p>
      <w:pPr>
        <w:jc w:val="center"/>
      </w:pPr>
      <m:oMathPara>
        <m:oMath>
          <m:r>
            <m:t>did_anyₚₜ = 1(did_intensityₚₜ &gt; 0)</m:t>
          </m:r>
        </m:oMath>
      </m:oMathPara>
    </w:p>
    <w:p>
      <w:r>
        <w:t xml:space="preserve">【v2e工作输入确认】按照人工确认，v2e 将 implied city-slot registry 作为 working analysis input 使用，将 province-year audit 作为 working threshold/audit proxy 使用。该处理使本轮能够继续完成聚合链条审计和后续可执行数据分析；但所有相关输出仍必须标注 implied/proxy 身份，不能写成真实城市名单或原始政策阈值底表，也不能据此新增城市层面因果结论。【v2e新增处理链条审计说明】为增强处理变量构造的可审查性，v2e 进一步把 v2d 已落地的省年 treat_share 重构表转化为两类审计资产：其一是 province-year 层面的 treat_share 聚合审计表，其二是在缺少真实城市名单和阈值底表时生成的 implied city-slot registry。该 registry 只把每个省年单元展开为若干“城市席位”，并按 treated_city_count_implied 回算覆盖席位；它不是原始城市名单，也不改变本文以 treat_share 多期 DID/TWFE 为唯一主识别的结构。当前权重按等权 city-slot 处理，理由是项目文件未提供可核实的人口、财政、项目量或投资额权重底表，且现有省年 treat_share 与城市计数份额相一致。</w:t>
      </w:r>
    </w:p>
    <w:p ns2:paraId="7EA9AC05">
      <w:pPr>
        <w:spacing w:before="0" w:after="0" w:line="420" w:lineRule="auto"/>
        <w:ind w:firstLine="420"/>
        <w:jc w:val="both"/>
      </w:pPr>
      <w:r>
        <w:t>根据第5.1节并表工作簿中的“省份处理时点”工作表，当前口径下多数进入处理的省份首次处理年份为2016年，西藏为2017年；海南、青海和新疆生产建设兵团在当前口径下未进入处理。从文本工程到正式估计样本的流转为：1472份政策文本全文池，经统一筛选保留1307份正式DID文本文档样本，进一步聚合为288个省—年文本单元，再与正式V3主面板对接形成266个省—年观察值，其中262个进入正式回归样本，另有10000个项目级扩展观察值用于第5.7节。更谨慎地说，treat_share在正文中的含义应表述为由城市处理状态聚合形成的省级政策暴露强度，而不是单个城市层面的标准ATT处理指示。本轮修订随附附录A，补充提供province-year层面的treat_share重构表、处理时点表、266→262删样清单以及处理变量精确定义，以增强当前稿件的可复核性；但城市级处理名单和原始阈值底表未在当前仓库显式落地，因此本文只能将这一部分说明为省级重构意义上的复核材料，而不夸大为完整城市级复现包。</w:t>
      </w:r>
    </w:p>
    <w:p ns2:paraId="450D60BB">
      <w:pPr>
        <w:spacing w:before="0" w:after="0" w:line="420" w:lineRule="auto"/>
        <w:ind w:firstLine="420"/>
        <w:jc w:val="both"/>
      </w:pPr>
      <w:r>
        <w: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将其明确降格处理，不把它写成全文中心结论。</w:t>
      </w:r>
    </w:p>
    <w:p ns2:paraId="15049706">
      <w:pPr>
        <w:spacing w:before="0" w:after="0" w:line="420" w:lineRule="auto"/>
        <w:ind w:firstLine="420"/>
        <w:jc w:val="both"/>
      </w:pPr>
      <w:r>
        <w:t>控制变量方面，本文使用正式主面板中已经统一口径整理的省级经济社会特征变量，并结合文本覆盖相关控制量进行估计。其中，text_missing、文本覆盖规模和文档数量等变量主要用于控制文本观测差异可能带来的测度偏误，其他省级控制变量则按正式主面板统一规格进入回归。出于避免超出当前材料边界的考虑，本文不在正文中展开超出正式主面板说明范围之外的变量解释，具体定义见表3和正式主面板说明文件。</w:t>
      </w:r>
    </w:p>
    <w:p ns2:paraId="3448AB57">
      <w:pPr>
        <w:spacing w:before="0" w:after="0" w:line="420" w:lineRule="auto"/>
        <w:ind w:firstLine="420"/>
        <w:jc w:val="both"/>
      </w:pPr>
      <w:r>
        <w:t>需要特别指出的是，文档级变量、省—年级文本变量与省级主面板变量在本文中具有明确层级边界。A/B/C/D指数和主题变量只有在完成省—年聚合并进入正式主面板后，才参与后文的机制解释和扩展分析；项目级风险变量则仅在第5.7节中单独使用。不同层级之间的区分，是本文避免“同名变量跨层混用”的基本前提。</w:t>
      </w:r>
    </w:p>
    <w:p ns2:paraId="2627F338">
      <w:pPr>
        <w:spacing w:before="0" w:after="0" w:line="420" w:lineRule="auto"/>
        <w:ind w:firstLine="420"/>
        <w:jc w:val="both"/>
      </w:pPr>
      <w:r>
        <w:t>也正因为存在这一层级边界，本文将文本变量、面板变量与项目级结构变量分别放入不同分析模块：前者服务于测度与解释，中者承担主识别，后者只用于扩展分析。这一安排既回应了变量工程的需要，也避免了不同层级信息在同一结果方程中的不当混用。</w:t>
      </w:r>
    </w:p>
    <w:p ns2:paraId="33DB0F42">
      <w:pPr>
        <w:spacing w:before="100" w:after="40" w:line="420" w:lineRule="auto"/>
        <w:jc w:val="left"/>
      </w:pPr>
      <w:r>
        <w:t>4.4 计量模型与识别思路</w:t>
      </w:r>
    </w:p>
    <w:p ns2:paraId="3B3BC3BA">
      <w:pPr>
        <w:spacing w:before="0" w:after="0" w:line="420" w:lineRule="auto"/>
        <w:ind w:firstLine="420"/>
        <w:jc w:val="both"/>
      </w:pPr>
      <w:r>
        <w:t>本文的主识别模型是以treat_share为核心处理变量的多期DID/TWFE模型。形式上，本文估计的核心方程可以写为：</w:t>
      </w:r>
    </w:p>
    <w:p>
      <w:pPr>
        <w:jc w:val="center"/>
      </w:pPr>
      <m:oMathPara>
        <m:oMath>
          <m:r>
            <m:t>Yₚₜ = β treat_shareₚₜ + γ′Xₚₜ + μₚ + λₜ + εₚₜ</m:t>
          </m:r>
        </m:oMath>
      </m:oMathPara>
    </w:p>
    <w:p ns2:paraId="7EA9AC05">
      <w:pPr>
        <w:spacing w:before="0" w:after="0" w:line="420" w:lineRule="auto"/>
        <w:ind w:firstLine="420"/>
        <w:jc w:val="both"/>
      </w:pPr>
      <w:r>
        <w:t xml:space="preserve">其中，结果变量分别对应 exec_share、proc_share 和 ppp_quality_zindex 等省级结果；核心处理变量表示省份在特定年份的数字化改革暴露强度；控制变量、地区固定效应、年份固定效应和省级聚类标准误均沿用正式主面板统一口径。之所以将这一设定作为唯一主识别，原因有二：一是当前正式结果和写作总控文档都明确将 treat_share 多期 DID/TWFE 设定为全文唯一主模型；二是这一模型与本文“改革冲击—治理过程变化—推进结构调整”的问题结构最为契合。</w:t>
      </w:r>
    </w:p>
    <w:p ns2:paraId="1A6E6399">
      <w:pPr>
        <w:spacing w:before="0" w:after="0" w:line="420" w:lineRule="auto"/>
        <w:ind w:firstLine="420"/>
        <w:jc w:val="both"/>
      </w:pPr>
      <w:r>
        <w:t>这一模型中的β更稳妥地应解释为：在控制地区固定效应、年份固定效应和一组正式主面板控制变量后，省级数字化改革暴露强度与PPP推进结构或治理结果之间的平均条件关联，而不是严格意义上的单一处理平均效应。原因在于，treat_share是连续暴露强度变量，处理批次又高度集中在2016年前后，did_any与did_intensity只能承担替代处理口径和诊断功能。就当前样本而言，正式主面板覆盖2014—2022年、31个省级单元与新疆生产建设兵团，共266个省—年观察值，其中262个进入正式主识别样本；后文所有主结果均以这一口径为基准锚点。</w:t>
      </w:r>
    </w:p>
    <w:p ns2:paraId="774D7076">
      <w:pPr>
        <w:spacing w:before="0" w:after="0" w:line="420" w:lineRule="auto"/>
        <w:ind w:firstLine="420"/>
        <w:jc w:val="both"/>
      </w:pPr>
      <w:r>
        <w:t>需要强调的是，本文对识别强度的处理是克制的。事件研究在本文中只用于说明动态路径和识别边界，不用于声称平行趋势已经成立。考虑到错位处理时点下TWFE动态系数的解释存在额外边界，趋势调整型DID、逐省剔除和wild cluster bootstrap共同承担主识别防守功能；did_any与did_intensity仅作为连续处理变量的替代口径；stack DID、cohort ATT、PSM-DID、DML、候选工具变量和其他替代估计只保留为边界诊断，不改变主识别结构（Sun &amp; Abraham, 2021）。</w:t>
      </w:r>
    </w:p>
    <w:p>
      <w:r>
        <w:t xml:space="preserve">【v2e识别边界补强】与以外生政策批次、司法试点或基础设施落地为处理来源的典型 DID 研究相比，本文的 treat_share 更接近连续暴露强度变量。因此，核心系数应被解释为在地区固定效应、年份固定效应和统一控制变量条件下，省级数字化改革暴露强度与 PPP 推进结构之间的平均条件关联，而不是单一城市或企业层面的标准 ATT。trend-adjusted DID、逐省剔除、wild cluster bootstrap、stack DID、cohort ATT、PSM-DID、DML 和候选工具变量均只能服务于防守性稳健性或边界诊断，不能被写成新的主识别。</w:t>
      </w:r>
    </w:p>
    <w:p ns2:paraId="3C96DB9E">
      <w:pPr>
        <w:spacing w:before="0" w:after="0" w:line="420" w:lineRule="auto"/>
        <w:ind w:firstLine="420"/>
        <w:jc w:val="both"/>
      </w:pPr>
      <w:r>
        <w:t>从公共管理研究的角度看，这样的识别安排意味着本文并不试图用更复杂的方法覆盖一切疑问，而是将不同证据放在各自恰当的位置上：主识别回答“改革是否首先改善了推进结构”，政策文本证据线索回答“改革首先改动了哪些治理接口与制度表达”，稳健性检验回答“主结果是否在更严格设定下仍可防守”，扩展分析回答“文本与结构变量是否还能服务于项目级辅助识别”。这种分层安排，构成了后文实证分析的基本结构。</w:t>
      </w:r>
    </w:p>
    <w:p ns2:paraId="7EA9AC05">
      <w:pPr>
        <w:spacing w:before="0" w:after="0" w:line="420" w:lineRule="auto"/>
        <w:ind w:firstLine="420"/>
        <w:jc w:val="both"/>
      </w:pPr>
      <w:r>
        <w:t>同时需要说明，机制与异质性部分主要依托当前项目归档中的既有正式辅助结果，其任务在于补充解释和提示适用边界，而不与表4主识别处于同一证据层级。尤其是A/B/C/D维度与treat_share都来自政策文本工程，故其更适合被理解为制度表达和治理重心重分布的文本证据线索，而不是与表4并列的第二套识别体系。本文因此不将这些结果写成第二主识别，而只在其能够支持的范围内作辅助性讨论。</w:t>
      </w:r>
    </w:p>
    <w:p ns2:paraId="41817273">
      <w:pPr>
        <w:spacing w:before="160" w:after="60" w:line="420" w:lineRule="auto"/>
        <w:jc w:val="left"/>
      </w:pPr>
      <w:r>
        <w:t>5 实证结果与分析</w:t>
      </w:r>
    </w:p>
    <w:p ns2:paraId="573CDD58">
      <w:pPr>
        <w:spacing w:before="100" w:after="40" w:line="420" w:lineRule="auto"/>
        <w:jc w:val="left"/>
      </w:pPr>
      <w:r>
        <w:t>5.1 描述性事实与治理过程背景</w:t>
      </w:r>
    </w:p>
    <w:p ns2:paraId="3909E3AF">
      <w:pPr>
        <w:spacing w:before="0" w:after="0" w:line="420" w:lineRule="auto"/>
        <w:ind w:firstLine="420"/>
        <w:jc w:val="both"/>
      </w:pPr>
      <w:r>
        <w:t>在进入基准回归之前，有必要先考察样本中的治理过程事实，以便将后文的识别结果置于更具体的项目推进背景之中。这里的任务不是证明因果关系，而是交代PPP项目阶段结构随时间和处理状态变化的基本轮廓。</w:t>
      </w:r>
    </w:p>
    <w:p ns2:paraId="5F796F87">
      <w:pPr>
        <w:spacing w:before="0" w:after="0" w:line="420" w:lineRule="auto"/>
        <w:ind w:firstLine="420"/>
        <w:jc w:val="both"/>
      </w:pPr>
      <w:r>
        <w:t>图2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对本文而言，这意味着将exec_share和proc_share置于主结果位置具有现实依据，而不是仅由计量便利所驱动。</w:t>
      </w:r>
    </w:p>
    <w:p ns2:paraId="372507D8">
      <w:pPr>
        <w:spacing w:before="60" w:after="60" w:line="360" w:lineRule="auto"/>
        <w:jc w:val="center"/>
      </w:pPr>
      <w:r>
        <w:drawing>
          <ns3:inline distT="0" distB="0" distL="0" distR="0">
            <ns3:extent cx="5577840" cy="4693920"/>
            <ns3:effectExtent l="0" t="0" r="0" b="0"/>
            <ns3:docPr id="3" name="image3.png"/>
            <ns3:cNvGraphicFramePr>
              <ns4:graphicFrameLocks noChangeAspect="1"/>
            </ns3:cNvGraphicFramePr>
            <ns4:graphic>
              <ns4:graphicData uri="http://schemas.openxmlformats.org/drawingml/2006/picture">
                <ns5:pic>
                  <ns5:nvPicPr>
                    <ns5:cNvPr id="3" name="image3.png"/>
                    <ns5:cNvPicPr>
                      <ns4:picLocks noChangeAspect="1"/>
                    </ns5:cNvPicPr>
                  </ns5:nvPicPr>
                  <ns5:blipFill>
                    <ns4:blip ns6:embed="rId6"/>
                    <ns4:stretch>
                      <ns4:fillRect/>
                    </ns4:stretch>
                  </ns5:blipFill>
                  <ns5:spPr>
                    <ns4:xfrm>
                      <ns4:off x="0" y="0"/>
                      <ns4:ext cx="5577840" cy="4694250"/>
                    </ns4:xfrm>
                    <ns4:prstGeom prst="rect">
                      <ns4:avLst/>
                    </ns4:prstGeom>
                  </ns5:spPr>
                </ns5:pic>
              </ns4:graphicData>
            </ns4:graphic>
          </ns3:inline>
        </w:drawing>
      </w:r>
    </w:p>
    <w:p ns2:paraId="0CE02DDB">
      <w:pPr>
        <w:spacing w:before="0" w:after="60" w:line="420" w:lineRule="auto"/>
        <w:jc w:val="center"/>
      </w:pPr>
      <w:r>
        <w:t>作为补充，图3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3的作用因此是辅助性的，它帮助说明后文进行面板识别的必要性，同时提醒读者不要将描述性差异直接等同于制度冲击的净效应。</w:t>
      </w:r>
    </w:p>
    <w:p ns2:paraId="4766A052">
      <w:pPr>
        <w:spacing w:before="0" w:after="0" w:line="420" w:lineRule="auto"/>
        <w:ind w:firstLine="420"/>
        <w:jc w:val="both"/>
      </w:pPr>
      <w:r>
        <w:t>由此可见，描述性事实层面已经呈现出两个值得继续检验的线索：一是PPP项目推进结构存在明显的阶段性变化，二是处理组与对照组在结果分布上并不完全相同。对公共管理研究而言，这意味着数字化改革很可能首先作用于项目推进过程本身；但同样需要强调，这一节只能提供治理背景，不承担因果证明功能。</w:t>
      </w:r>
    </w:p>
    <w:p ns2:paraId="3D8A4E4F">
      <w:pPr>
        <w:spacing w:before="60" w:after="60" w:line="360" w:lineRule="auto"/>
        <w:jc w:val="center"/>
      </w:pPr>
      <w:r>
        <w:drawing>
          <ns3:inline distT="0" distB="0" distL="0" distR="0">
            <ns3:extent cx="5577840" cy="3542030"/>
            <ns3:effectExtent l="0" t="0" r="0" b="0"/>
            <ns3:docPr id="4" name="image4.png"/>
            <ns3:cNvGraphicFramePr>
              <ns4:graphicFrameLocks noChangeAspect="1"/>
            </ns3:cNvGraphicFramePr>
            <ns4:graphic>
              <ns4:graphicData uri="http://schemas.openxmlformats.org/drawingml/2006/picture">
                <ns5:pic>
                  <ns5:nvPicPr>
                    <ns5:cNvPr id="4" name="image4.png"/>
                    <ns5:cNvPicPr>
                      <ns4:picLocks noChangeAspect="1"/>
                    </ns5:cNvPicPr>
                  </ns5:nvPicPr>
                  <ns5:blipFill>
                    <ns4:blip ns6:embed="rId7"/>
                    <ns4:stretch>
                      <ns4:fillRect/>
                    </ns4:stretch>
                  </ns5:blipFill>
                  <ns5:spPr>
                    <ns4:xfrm>
                      <ns4:off x="0" y="0"/>
                      <ns4:ext cx="5577840" cy="3542266"/>
                    </ns4:xfrm>
                    <ns4:prstGeom prst="rect">
                      <ns4:avLst/>
                    </ns4:prstGeom>
                  </ns5:spPr>
                </ns5:pic>
              </ns4:graphicData>
            </ns4:graphic>
          </ns3:inline>
        </w:drawing>
      </w:r>
    </w:p>
    <w:p ns2:paraId="4C36B422">
      <w:pPr>
        <w:spacing w:before="60" w:after="60" w:line="360" w:lineRule="auto"/>
        <w:jc w:val="center"/>
        <w:rPr>
          <w:rFonts w:hint="eastAsia" w:eastAsia="宋体"/>
          <w:lang w:eastAsia="zh-CN"/>
        </w:rPr>
      </w:pPr>
      <w:r>
        <w:rPr>
          <w:rFonts w:hint="eastAsia" w:eastAsia="宋体"/>
          <w:lang w:eastAsia="zh-CN"/>
        </w:rPr>
        <w:drawing>
          <ns3:inline distT="0" distB="0" distL="114300" distR="114300">
            <ns3:extent cx="5266055" cy="4570095"/>
            <ns3:effectExtent l="0" t="0" r="4445" b="1905"/>
            <ns3:docPr id="5" name="图片 5" descr="PPP_BERTopic主题相似性矩阵_官方GnBu冰蓝版"/>
            <ns3:cNvGraphicFramePr>
              <ns4:graphicFrameLocks noChangeAspect="1"/>
            </ns3:cNvGraphicFramePr>
            <ns4:graphic>
              <ns4:graphicData uri="http://schemas.openxmlformats.org/drawingml/2006/picture">
                <ns5:pic>
                  <ns5:nvPicPr>
                    <ns5:cNvPr id="5" name="图片 5" descr="PPP_BERTopic主题相似性矩阵_官方GnBu冰蓝版"/>
                    <ns5:cNvPicPr>
                      <ns4:picLocks noChangeAspect="1"/>
                    </ns5:cNvPicPr>
                  </ns5:nvPicPr>
                  <ns5:blipFill>
                    <ns4:blip ns6:embed="rId8"/>
                    <ns4:stretch>
                      <ns4:fillRect/>
                    </ns4:stretch>
                  </ns5:blipFill>
                  <ns5:spPr>
                    <ns4:xfrm>
                      <ns4:off x="0" y="0"/>
                      <ns4:ext cx="5266055" cy="4570095"/>
                    </ns4:xfrm>
                    <ns4:prstGeom prst="rect">
                      <ns4:avLst/>
                    </ns4:prstGeom>
                  </ns5:spPr>
                </ns5:pic>
              </ns4:graphicData>
            </ns4:graphic>
          </ns3:inline>
        </w:drawing>
      </w:r>
    </w:p>
    <w:p ns2:paraId="137712D3">
      <w:pPr>
        <w:spacing w:before="100" w:after="40" w:line="420" w:lineRule="auto"/>
        <w:jc w:val="left"/>
      </w:pPr>
      <w:r>
        <w:t>5.2 基准结果</w:t>
      </w:r>
    </w:p>
    <w:p ns2:paraId="480BBAA2">
      <w:pPr>
        <w:spacing w:before="0" w:after="0" w:line="420" w:lineRule="auto"/>
        <w:ind w:firstLine="420"/>
        <w:jc w:val="both"/>
      </w:pPr>
      <w:r>
        <w:t>在描述性事实之后，本文转向正式主识别，考察政务服务数字化改革是否以及在何种意义上改变了PPP项目推进结构。根据总控文档设定，这一部分构成全文的核心主证据，判断标准也必须服从“推进结构改善优先”的写作边界。</w:t>
      </w:r>
    </w:p>
    <w:p ns2:paraId="64C18C6B">
      <w:pPr>
        <w:spacing w:before="0" w:after="0" w:line="420" w:lineRule="auto"/>
        <w:ind w:firstLine="420"/>
        <w:jc w:val="both"/>
      </w:pPr>
      <w:r>
        <w:t>表4报告了基准多期DID/TWFE结果。结果显示，在地区和年份固定效应框架下，treat_share对exec_share的估计系数为0.3556，在1%水平上显著；对proc_share的估计系数为-0.4023，同样在1%水平上显著。两者共同指向同一个结论：在基准TWFE规格下，改革暴露强度较高的地区更可能出现由采购阶段向执行阶段的相对份额重组。更稳妥地说，这里识别到的是推进结构重组的平均条件关联，而不是数字化改革已经对PPP治理产生全面、稳定因果改善的证明。</w:t>
      </w:r>
    </w:p>
    <w:p ns2:paraId="7EA9AC05">
      <w:pPr>
        <w:spacing w:before="0" w:after="0" w:line="420" w:lineRule="auto"/>
        <w:ind w:firstLine="420"/>
        <w:jc w:val="both"/>
      </w:pPr>
      <w:r>
        <w:t xml:space="preserve">为回应份额型因变量的加总约束，本文进一步在与表4相同的262个正式估计观测上补充构造执行/采购对数比率指标。该指标的数学形式如下列公式编辑器对象所示。考虑到样本中存在零份额情形，本轮补充估计以执行阶段与采购阶段最小正份额的一半作为连续性修正；在与表4一致的地区固定效应、年份固定效应、省级聚类和控制变量设定下，相关结果只作为构成性补强，而不是替代正式主规格的第二主模型。</w:t>
      </w:r>
    </w:p>
    <w:p>
      <w:pPr>
        <w:jc w:val="center"/>
      </w:pPr>
      <m:oMathPara>
        <m:oMath>
          <m:r>
            <m:t>log_ratioₚₜ = log((exec_shareₚₜ + c) / (proc_shareₚₜ + c))</m:t>
          </m:r>
        </m:oMath>
      </m:oMathPara>
    </w:p>
    <w:p>
      <w:r>
        <w:t xml:space="preserve">【v2e份额型结果边界】执行阶段占比上升与采购阶段占比下降具有构成性联系，因此本文不把二者简单写作相互独立的两项结果。执行/采购对数比率补充估计用于回应份额型因变量的加总约束，但它仍属于构成性补强，不替代表 4 的 treat_share TWFE 主结果。后续如进一步采用 fractional response 或 compositional robustness，应继续作为防守层而非第二主模型。</w:t>
      </w:r>
    </w:p>
    <w:p ns2:paraId="5714222D">
      <w:pPr>
        <w:spacing w:before="0" w:after="40" w:line="420" w:lineRule="auto"/>
        <w:jc w:val="center"/>
      </w:pPr>
      <w:r>
        <w:t>相较之下，ppp_quality_zindex的估计系数虽为正，但在统计上并不显著。这个结果具有明确的写作含义。它说明数字化改革并非完全没有改善综合治理质量的方向性信号，但这一信号不足以承担全文主结论。若将这一指标写成“数字化改革显著提升了PPP治理质量”，将超出当前正式结果所允许的证据边界。因此，本文仅将其解释为边际改善信号，而不把它提升到与推进结构结果并列的地位。</w:t>
      </w:r>
    </w:p>
    <w:tbl>
      <w:tblPr>
        <w:tblStyle w:val="2"/>
        <w:tblW w:w="8522"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932"/>
        <w:gridCol w:w="1878"/>
        <w:gridCol w:w="1369"/>
        <w:gridCol w:w="840"/>
        <w:gridCol w:w="525"/>
        <w:gridCol w:w="705"/>
        <w:gridCol w:w="1273"/>
      </w:tblGrid>
      <w:tr ns2:paraId="1D03221E">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02A7941D">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结果变量</w:t>
            </w:r>
          </w:p>
        </w:tc>
        <w:tc>
          <w:tcPr>
            <w:tcW w:w="187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4AB9DBA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treat_share系数</w:t>
            </w:r>
          </w:p>
        </w:tc>
        <w:tc>
          <w:tcPr>
            <w:tcW w:w="136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93CCC0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聚类标准误</w:t>
            </w:r>
          </w:p>
        </w:tc>
        <w:tc>
          <w:tcPr>
            <w:tcW w:w="84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2C24874">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p值</w:t>
            </w:r>
          </w:p>
        </w:tc>
        <w:tc>
          <w:tcPr>
            <w:tcW w:w="52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0048F28E">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N</w:t>
            </w:r>
          </w:p>
        </w:tc>
        <w:tc>
          <w:tcPr>
            <w:tcW w:w="70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E460DC9">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R²</w:t>
            </w:r>
          </w:p>
        </w:tc>
        <w:tc>
          <w:tcPr>
            <w:tcW w:w="127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04BB53AC">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写作口径</w:t>
            </w:r>
          </w:p>
        </w:tc>
      </w:tr>
      <w:tr ns2:paraId="709B1AE8">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F39A876">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187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1AD83FCE">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0.3556***</w:t>
            </w:r>
          </w:p>
        </w:tc>
        <w:tc>
          <w:tcPr>
            <w:tcW w:w="136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8FC2CA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(0.1002)</w:t>
            </w:r>
          </w:p>
        </w:tc>
        <w:tc>
          <w:tcPr>
            <w:tcW w:w="84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01A549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&lt;0.001</w:t>
            </w:r>
          </w:p>
        </w:tc>
        <w:tc>
          <w:tcPr>
            <w:tcW w:w="52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4E1886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27E9CA3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0.839</w:t>
            </w:r>
          </w:p>
        </w:tc>
        <w:tc>
          <w:tcPr>
            <w:tcW w:w="127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54C62A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主结果</w:t>
            </w:r>
          </w:p>
        </w:tc>
      </w:tr>
      <w:tr ns2:paraId="601857D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CA9744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1879" w:type="dxa"/>
            <w:tcBorders>
              <w:top w:val="nil"/>
              <w:left w:val="nil"/>
              <w:bottom w:val="nil"/>
              <w:right w:val="nil"/>
            </w:tcBorders>
            <w:shd w:val="clear" w:color="auto" w:fill="FFFFFF"/>
            <w:noWrap w:val="0"/>
            <w:tcMar>
              <w:top w:w="-1" w:type="dxa"/>
              <w:left w:w="-1" w:type="dxa"/>
              <w:bottom w:w="-1" w:type="dxa"/>
              <w:right w:w="-1" w:type="dxa"/>
            </w:tcMar>
            <w:vAlign w:val="center"/>
          </w:tcPr>
          <w:p ns2:paraId="6F96B65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-0.4023***</w:t>
            </w:r>
          </w:p>
        </w:tc>
        <w:tc>
          <w:tcPr>
            <w:tcW w:w="1369" w:type="dxa"/>
            <w:tcBorders>
              <w:top w:val="nil"/>
              <w:left w:val="nil"/>
              <w:bottom w:val="nil"/>
              <w:right w:val="nil"/>
            </w:tcBorders>
            <w:shd w:val="clear" w:color="auto" w:fill="FFFFFF"/>
            <w:noWrap w:val="0"/>
            <w:tcMar>
              <w:top w:w="-1" w:type="dxa"/>
              <w:left w:w="-1" w:type="dxa"/>
              <w:bottom w:w="-1" w:type="dxa"/>
              <w:right w:w="-1" w:type="dxa"/>
            </w:tcMar>
            <w:vAlign w:val="center"/>
          </w:tcPr>
          <w:p ns2:paraId="21FC6B6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(0.1019)</w:t>
            </w:r>
          </w:p>
        </w:tc>
        <w:tc>
          <w:tcPr>
            <w:tcW w:w="840" w:type="dxa"/>
            <w:tcBorders>
              <w:top w:val="nil"/>
              <w:left w:val="nil"/>
              <w:bottom w:val="nil"/>
              <w:right w:val="nil"/>
            </w:tcBorders>
            <w:shd w:val="clear" w:color="auto" w:fill="FFFFFF"/>
            <w:noWrap w:val="0"/>
            <w:tcMar>
              <w:top w:w="-1" w:type="dxa"/>
              <w:left w:w="-1" w:type="dxa"/>
              <w:bottom w:w="-1" w:type="dxa"/>
              <w:right w:w="-1" w:type="dxa"/>
            </w:tcMar>
            <w:vAlign w:val="center"/>
          </w:tcPr>
          <w:p ns2:paraId="52B8E94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&lt;0.001</w:t>
            </w:r>
          </w:p>
        </w:tc>
        <w:tc>
          <w:tcPr>
            <w:tcW w:w="525" w:type="dxa"/>
            <w:tcBorders>
              <w:top w:val="nil"/>
              <w:left w:val="nil"/>
              <w:bottom w:val="nil"/>
              <w:right w:val="nil"/>
            </w:tcBorders>
            <w:shd w:val="clear" w:color="auto" w:fill="FFFFFF"/>
            <w:noWrap w:val="0"/>
            <w:tcMar>
              <w:top w:w="-1" w:type="dxa"/>
              <w:left w:w="-1" w:type="dxa"/>
              <w:bottom w:w="-1" w:type="dxa"/>
              <w:right w:w="-1" w:type="dxa"/>
            </w:tcMar>
            <w:vAlign w:val="center"/>
          </w:tcPr>
          <w:p ns2:paraId="2C9AA60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nil"/>
              <w:left w:val="nil"/>
              <w:bottom w:val="nil"/>
              <w:right w:val="nil"/>
            </w:tcBorders>
            <w:shd w:val="clear" w:color="auto" w:fill="FFFFFF"/>
            <w:noWrap w:val="0"/>
            <w:tcMar>
              <w:top w:w="-1" w:type="dxa"/>
              <w:left w:w="-1" w:type="dxa"/>
              <w:bottom w:w="-1" w:type="dxa"/>
              <w:right w:w="-1" w:type="dxa"/>
            </w:tcMar>
            <w:vAlign w:val="center"/>
          </w:tcPr>
          <w:p ns2:paraId="487756C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0.844</w:t>
            </w:r>
          </w:p>
        </w:tc>
        <w:tc>
          <w:tcPr>
            <w:tcW w:w="1274" w:type="dxa"/>
            <w:tcBorders>
              <w:top w:val="nil"/>
              <w:left w:val="nil"/>
              <w:bottom w:val="nil"/>
              <w:right w:val="nil"/>
            </w:tcBorders>
            <w:shd w:val="clear" w:color="auto" w:fill="FFFFFF"/>
            <w:noWrap w:val="0"/>
            <w:tcMar>
              <w:top w:w="-1" w:type="dxa"/>
              <w:left w:w="-1" w:type="dxa"/>
              <w:bottom w:w="-1" w:type="dxa"/>
              <w:right w:w="-1" w:type="dxa"/>
            </w:tcMar>
            <w:vAlign w:val="center"/>
          </w:tcPr>
          <w:p ns2:paraId="7866423F">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主结果</w:t>
            </w:r>
          </w:p>
        </w:tc>
      </w:tr>
      <w:tr ns2:paraId="1998A8F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93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42C5078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187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475CF37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0.5253</w:t>
            </w:r>
          </w:p>
        </w:tc>
        <w:tc>
          <w:tcPr>
            <w:tcW w:w="136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1238AE2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(0.4214)</w:t>
            </w:r>
          </w:p>
        </w:tc>
        <w:tc>
          <w:tcPr>
            <w:tcW w:w="84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5C623C6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0.213</w:t>
            </w:r>
          </w:p>
        </w:tc>
        <w:tc>
          <w:tcPr>
            <w:tcW w:w="5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186D0338">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59093F8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0.613</w:t>
            </w:r>
          </w:p>
        </w:tc>
        <w:tc>
          <w:tcPr>
            <w:tcW w:w="127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D049FE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方向为正但统计不稳</w:t>
            </w:r>
          </w:p>
        </w:tc>
      </w:tr>
    </w:tbl>
    <w:p ns2:paraId="362FEDA8">
      <w:pPr>
        <w:spacing w:before="0" w:after="0" w:line="420" w:lineRule="auto"/>
        <w:ind w:firstLine="420"/>
        <w:jc w:val="both"/>
      </w:pPr>
      <w:r>
        <w:t>基准结果对公共管理研究的含义在于，数字化改革的现实作用更接近于改善政府内部流程衔接和项目推进程序，而非立即改变所有治理结果。与此同时，也必须保持边界控制：表4及对数比率补充估计共同支持的是推进结构和治理过程的平均条件关联，不支持将改革表述为“全面改善PPP治理质量”的强断言。</w:t>
      </w:r>
    </w:p>
    <w:p ns2:paraId="25B069EB">
      <w:pPr>
        <w:spacing w:before="60" w:after="60" w:line="360" w:lineRule="auto"/>
        <w:jc w:val="center"/>
      </w:pPr>
      <w:r>
        <w:drawing>
          <ns3:inline distT="0" distB="0" distL="0" distR="0">
            <ns3:extent cx="5577840" cy="3520440"/>
            <ns3:effectExtent l="0" t="0" r="0" b="0"/>
            <ns3:docPr id="6" name="image6.png"/>
            <ns3:cNvGraphicFramePr>
              <ns4:graphicFrameLocks noChangeAspect="1"/>
            </ns3:cNvGraphicFramePr>
            <ns4:graphic>
              <ns4:graphicData uri="http://schemas.openxmlformats.org/drawingml/2006/picture">
                <ns5:pic>
                  <ns5:nvPicPr>
                    <ns5:cNvPr id="6" name="image6.png"/>
                    <ns5:cNvPicPr>
                      <ns4:picLocks noChangeAspect="1"/>
                    </ns5:cNvPicPr>
                  </ns5:nvPicPr>
                  <ns5:blipFill>
                    <ns4:blip ns6:embed="rId9"/>
                    <ns4:stretch>
                      <ns4:fillRect/>
                    </ns4:stretch>
                  </ns5:blipFill>
                  <ns5:spPr>
                    <ns4:xfrm>
                      <ns4:off x="0" y="0"/>
                      <ns4:ext cx="5577840" cy="3520734"/>
                    </ns4:xfrm>
                    <ns4:prstGeom prst="rect">
                      <ns4:avLst/>
                    </ns4:prstGeom>
                  </ns5:spPr>
                </ns5:pic>
              </ns4:graphicData>
            </ns4:graphic>
          </ns3:inline>
        </w:drawing>
      </w:r>
    </w:p>
    <w:p ns2:paraId="515580B5">
      <w:pPr>
        <w:spacing w:before="100" w:after="40" w:line="420" w:lineRule="auto"/>
        <w:jc w:val="left"/>
      </w:pPr>
      <w:r>
        <w:t>5.3 动态路径与识别边界</w:t>
      </w:r>
    </w:p>
    <w:p ns2:paraId="7EF0702B">
      <w:pPr>
        <w:spacing w:before="0" w:after="0" w:line="420" w:lineRule="auto"/>
        <w:ind w:firstLine="420"/>
        <w:jc w:val="both"/>
      </w:pPr>
      <w:r>
        <w: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w:t>
      </w:r>
    </w:p>
    <w:p ns2:paraId="2E4A3FBC">
      <w:pPr>
        <w:spacing w:before="0" w:after="0" w:line="420" w:lineRule="auto"/>
        <w:ind w:firstLine="420"/>
        <w:jc w:val="both"/>
      </w:pPr>
      <w:r>
        <w:t>就正式动态长表而言，当前事件研究结果并不支持把这一部分写成与基准DID同向强化的动态展开。一方面，exec_share和proc_share在处理前&lt;=-2窗口上的领先项已经显示出统计显著，这意味着处理组与对照组在政策启动之前并非完全平稳；另一方面，处理后各期系数存在明显波动，且若干时期的方向与表4中的平均效应并不一致。更稳妥的解释因此不是“执行逐步上升、采购相应下降”，而是“动态诊断揭示了平均结构效应之外仍存在时序不平稳和解释边界”。</w:t>
      </w:r>
    </w:p>
    <w:p ns2:paraId="46BD8458">
      <w:pPr>
        <w:spacing w:before="0" w:after="40" w:line="420" w:lineRule="auto"/>
        <w:jc w:val="center"/>
      </w:pPr>
      <w:r>
        <w:t>这一结论并不推翻基准结果，但它对写作口径提出了更严格的约束。第一，事件研究在本文中只能作为时序路径和识别边界的诊断工具，而不能被写成平行趋势成立或效应逐步释放的强证据。第二，对于错位处理时点下的TWFE事件研究，动态系数本身并不天然等同于无偏的处理效应路径，因此正文必须避免把个别时期系数直接外推为稳定的改革演进逻辑（Sun &amp; Abraham, 2021）。第三，对ppp_quality_zindex而言，动态结果同样未形成稳定支持，因此更不能据此抬升为主结论。</w:t>
      </w:r>
    </w:p>
    <w:tbl>
      <w:tblPr>
        <w:tblStyle w:val="2"/>
        <w:tblW w:w="9919"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768"/>
        <w:gridCol w:w="1369"/>
        <w:gridCol w:w="1369"/>
        <w:gridCol w:w="1370"/>
        <w:gridCol w:w="1370"/>
        <w:gridCol w:w="1370"/>
        <w:gridCol w:w="1303"/>
      </w:tblGrid>
      <w:tr ns2:paraId="6F918967">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1417"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2A16FF00">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结果变量</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C566F41">
            <w:pPr>
              <w:snapToGrid w:val="0"/>
              <w:spacing w:before="0" w:after="0" w:line="240" w:lineRule="auto"/>
              <w:ind w:left="0" w:leftChars="0" w:right="0" w:rightChars="0" w:firstLine="0" w:firstLineChars="0"/>
              <w:jc w:val="center"/>
              <w:rPr>
                <w:rFonts w:ascii="Times New Roman" w:hAnsi="Times New Roman" w:eastAsia="宋体"/>
                <w:b/>
                <w:color w:val="000000"/>
                <w:sz w:val="22"/>
                <w:szCs w:val="22"/>
              </w:rPr>
            </w:pPr>
            <w:r>
              <w:rPr>
                <w:rFonts w:ascii="Times New Roman" w:hAnsi="Times New Roman" w:eastAsia="宋体"/>
                <w:b/>
                <w:color w:val="000000"/>
                <w:sz w:val="22"/>
                <w:szCs w:val="22"/>
              </w:rPr>
              <w:t>处理前</w:t>
            </w:r>
          </w:p>
          <w:p ns2:paraId="799CBD7B">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(&lt;=-2)</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3F8A62BD">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当期(0)</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AD48DFD">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后1期</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18BB3A13">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后2期</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510F93A">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后3期及以上</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3D251CD9">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识别边界说明</w:t>
            </w:r>
          </w:p>
        </w:tc>
      </w:tr>
      <w:tr ns2:paraId="47E12AD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DFFE6BE">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exec_share</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A7FAD7E">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-0.1469** [p=0.013]</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8E8C849">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0.4751***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47A4DF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-0.4382***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281B888">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-0.4357***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8E385F5">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-0.6041***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3C2B9141">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r ns2:paraId="7A75003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64426FD2">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proc_share</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56F97625">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0.2438***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6A72C744">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-0.3350*** [p=0.010]</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3C02066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0.4835***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2A973086">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0.3831***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026E4C1A">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0.6803***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63731C7E">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r ns2:paraId="766ED1C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26BAD4C8">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ppp_quality_zindex</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3289E53">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-0.1877* [p=0.051]</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740C6B3D">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0.7400** [p=0.013]</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1B680139">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-0.4226*** [p=0.002]</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D50944B">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-0.6742*** [p=&lt;0.001]</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FDFF16B">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-0.4672* [p=0.072]</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356E9A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bl>
    <w:p ns2:paraId="45D469A8">
      <w:pPr>
        <w:spacing w:before="60" w:after="60" w:line="360" w:lineRule="auto"/>
        <w:jc w:val="center"/>
      </w:pPr>
      <w:r>
        <w:drawing>
          <ns3:inline distT="0" distB="0" distL="0" distR="0">
            <ns3:extent cx="5577840" cy="5709920"/>
            <ns3:effectExtent l="0" t="0" r="0" b="0"/>
            <ns3:docPr id="7" name="image7.png"/>
            <ns3:cNvGraphicFramePr>
              <ns4:graphicFrameLocks noChangeAspect="1"/>
            </ns3:cNvGraphicFramePr>
            <ns4:graphic>
              <ns4:graphicData uri="http://schemas.openxmlformats.org/drawingml/2006/picture">
                <ns5:pic>
                  <ns5:nvPicPr>
                    <ns5:cNvPr id="7" name="image7.png"/>
                    <ns5:cNvPicPr>
                      <ns4:picLocks noChangeAspect="1"/>
                    </ns5:cNvPicPr>
                  </ns5:nvPicPr>
                  <ns5:blipFill>
                    <ns4:blip ns6:embed="rId10"/>
                    <ns4:stretch>
                      <ns4:fillRect/>
                    </ns4:stretch>
                  </ns5:blipFill>
                  <ns5:spPr>
                    <ns4:xfrm>
                      <ns4:off x="0" y="0"/>
                      <ns4:ext cx="5577840" cy="5710257"/>
                    </ns4:xfrm>
                    <ns4:prstGeom prst="rect">
                      <ns4:avLst/>
                    </ns4:prstGeom>
                  </ns5:spPr>
                </ns5:pic>
              </ns4:graphicData>
            </ns4:graphic>
          </ns3:inline>
        </w:drawing>
      </w:r>
    </w:p>
    <w:p ns2:paraId="443ECE0B">
      <w:pPr>
        <w:spacing w:before="0" w:after="60" w:line="420" w:lineRule="auto"/>
        <w:jc w:val="center"/>
      </w:pPr>
      <w:r>
        <w:t>从公共管理含义上看，这一结果提示制度启动时点、平均结构效应与分期动态系数不能被简单等同：改革可能确实改变了PPP推进结构，但这一变化未必表现为一条单调、平滑且与平均效应完全同向的动态轨迹。对本文而言，第5.3节的价值主要在于诚实呈现识别边界，并为后文更严格的防守性检验提供问题意识，而不是额外增强主结论。</w:t>
      </w:r>
    </w:p>
    <w:p ns2:paraId="2DD0A4AC">
      <w:pPr>
        <w:spacing w:before="0" w:after="0" w:line="420" w:lineRule="auto"/>
        <w:ind w:firstLine="420"/>
        <w:jc w:val="both"/>
      </w:pPr>
      <w:r>
        <w:t>基于上述动态路径与识别边界，后文进一步引入趋势调整型 DID、逐省剔除诊断和更保守的小样本推断，对推进结构结论在关键识别挑战下的稳定性进行防守性检验。</w:t>
      </w:r>
    </w:p>
    <w:p ns2:paraId="66E241E6">
      <w:pPr>
        <w:spacing w:before="100" w:after="40" w:line="420" w:lineRule="auto"/>
        <w:jc w:val="left"/>
      </w:pPr>
      <w:r>
        <w:t>5.4 政策文本证据线索与阶段性传导</w:t>
      </w:r>
    </w:p>
    <w:p ns2:paraId="24409220">
      <w:pPr>
        <w:spacing w:before="0" w:after="0" w:line="420" w:lineRule="auto"/>
        <w:ind w:firstLine="420"/>
        <w:jc w:val="both"/>
      </w:pPr>
      <w:r>
        <w:t>在确认数字化改革暴露强度与PPP推进结构重组存在稳定条件关联之后，进一步的问题是：这一变化更可能通过哪些治理环节显现。根据第三部分提出的理论框架，这里的核心不是寻找一条完整闭合的强中介链条，而是判断改革是否优先作用于数字治理接口和前端规范环境，并是否存在阶段性传导。考虑到A/B/C/D维度与treat_share都依托政策文本工程，本节不再将相关结果写成独立的“机制检验”，而改写为政策文本证据线索：其任务是说明制度表达和治理重心如何随改革推进而调整，而不是提供与表4并列的第二套因果识别。</w:t>
      </w:r>
    </w:p>
    <w:p>
      <w:r>
        <w:t xml:space="preserve">【v2e机制与文本效度数据依赖确认】独立机制变量并不主要依赖 city-year registry 或处理阈值底表，而依赖审批、公告、项目阶段转换、在线服务或项目里程碑等独立数据。本轮已基于项目级底表生成公告/披露完整度候选 proxy；审批时长、采购到执行间隔、项目退库率、在线服务指数和项目执行周期仍缺少可直接估计的独立字段。文本效度审计同样不依赖 registry/audit，而需要成对人工标注；当前未发现可直接计算 kappa/alpha 的双标注数据，因此只生成数据可得性矩阵，不伪造一致性系数。【v2e独立机制变量边界】A/B/C/D 与 treat_share 均依托政策文本工程，二者之间的关系不能直接解释为来源独立的强机制识别。v2e 因此保留“政策文本证据线索”的写法，并把真正的机制补强留给非文本源变量，例如审批时长、采购到执行间隔、公告披露完整度、项目退库率、在线服务指数和项目执行周期。只有这些变量完成数据构造、口径审计并与正式主面板或项目底表可靠对接后，正文才可新增“独立机制补强”段落。</w:t>
      </w:r>
    </w:p>
    <w:p ns2:paraId="5876C728">
      <w:pPr>
        <w:spacing w:before="0" w:after="0" w:line="420" w:lineRule="auto"/>
        <w:ind w:firstLine="420"/>
        <w:jc w:val="both"/>
        <w:rPr>
          <w:rFonts w:ascii="Times New Roman" w:hAnsi="Times New Roman" w:eastAsia="宋体"/>
          <w:sz w:val="24"/>
          <w:szCs w:val="24"/>
        </w:rPr>
      </w:pPr>
      <w:r>
        <w:t>表5汇总了这组文本证据线索。首先，treat_share对A维度指数的影响显著，表明数字治理接口与数据协同确实是最先响应的治理环节，这与理论部分提出的“接口优先”判断一致。其次，B维度和C维度对应的文本治理表达也出现联动变化，说明前端准入、采购安排和执行衔接的制度重心随着改革推进而发生了重分布。需要注意的是，这里的经验含义应理解为治理表达结构变化和制度重心转移，而不宜机械理解为所有单项指标均线性改善。尤其对B维度而言，相关系数的方向含义必须结合指标定义解释，正文不宜直接把它翻译为“前端规范显著增强”，更稳妥的写法是“前端规范与准入表达发生显著调整”。再次，在结果方程中，A维度相关项对exec_share和proc_share的系数方向与理论预期大体一致，但统计上并不稳定；链式路径中，B_idx→C_idx和C_idx→D_idx两段显著，而A_idx→B_idx不显著；严格中介分解的Sobel检验和Bootstrap区间均未支持稳定中介效应。</w:t>
      </w:r>
    </w:p>
    <w:p ns2:paraId="70ABB4FB">
      <w:pPr>
        <w:spacing w:before="0" w:after="0" w:line="420" w:lineRule="auto"/>
        <w:ind w:firstLine="420"/>
        <w:jc w:val="both"/>
        <w:rPr>
          <w:rFonts w:ascii="Times New Roman" w:hAnsi="Times New Roman" w:eastAsia="宋体"/>
          <w:sz w:val="24"/>
          <w:szCs w:val="24"/>
        </w:rPr>
      </w:pPr>
    </w:p>
    <w:p ns2:paraId="45F6FA7F">
      <w:pPr>
        <w:spacing w:before="0" w:after="0" w:line="420" w:lineRule="auto"/>
        <w:ind w:firstLine="420"/>
        <w:jc w:val="both"/>
        <w:rPr>
          <w:rFonts w:ascii="Times New Roman" w:hAnsi="Times New Roman" w:eastAsia="宋体"/>
          <w:sz w:val="24"/>
          <w:szCs w:val="24"/>
        </w:rPr>
      </w:pPr>
    </w:p>
    <w:p ns2:paraId="1A020118">
      <w:pPr>
        <w:spacing w:before="0" w:after="0" w:line="420" w:lineRule="auto"/>
        <w:ind w:firstLine="420"/>
        <w:jc w:val="both"/>
        <w:rPr>
          <w:rFonts w:ascii="Times New Roman" w:hAnsi="Times New Roman" w:eastAsia="宋体"/>
          <w:sz w:val="24"/>
          <w:szCs w:val="24"/>
        </w:rPr>
      </w:pPr>
    </w:p>
    <w:p ns2:paraId="0CB0F5DE">
      <w:pPr>
        <w:spacing w:before="0" w:after="0" w:line="420" w:lineRule="auto"/>
        <w:ind w:firstLine="420"/>
        <w:jc w:val="both"/>
        <w:rPr>
          <w:rFonts w:ascii="Times New Roman" w:hAnsi="Times New Roman" w:eastAsia="宋体"/>
          <w:sz w:val="24"/>
          <w:szCs w:val="24"/>
        </w:rPr>
      </w:pPr>
    </w:p>
    <w:p ns2:paraId="52D7C45B">
      <w:pPr>
        <w:spacing w:before="0" w:after="0" w:line="420" w:lineRule="auto"/>
        <w:ind w:firstLine="420"/>
        <w:jc w:val="both"/>
        <w:rPr>
          <w:rFonts w:ascii="Times New Roman" w:hAnsi="Times New Roman" w:eastAsia="宋体"/>
          <w:sz w:val="24"/>
          <w:szCs w:val="24"/>
        </w:rPr>
      </w:pPr>
    </w:p>
    <w:p ns2:paraId="688846C3">
      <w:pPr>
        <w:spacing w:before="0" w:after="0" w:line="420" w:lineRule="auto"/>
        <w:ind w:firstLine="420"/>
        <w:jc w:val="both"/>
        <w:rPr>
          <w:rFonts w:ascii="Times New Roman" w:hAnsi="Times New Roman" w:eastAsia="宋体"/>
          <w:sz w:val="24"/>
          <w:szCs w:val="24"/>
        </w:rPr>
      </w:pPr>
    </w:p>
    <w:p ns2:paraId="2710B73D">
      <w:pPr>
        <w:spacing w:before="0" w:after="0" w:line="420" w:lineRule="auto"/>
        <w:ind w:firstLine="420"/>
        <w:jc w:val="both"/>
        <w:rPr>
          <w:rFonts w:ascii="Times New Roman" w:hAnsi="Times New Roman" w:eastAsia="宋体"/>
          <w:sz w:val="24"/>
          <w:szCs w:val="24"/>
        </w:rPr>
      </w:pPr>
    </w:p>
    <w:p ns2:paraId="5F78348B">
      <w:pPr>
        <w:spacing w:before="0" w:after="0" w:line="420" w:lineRule="auto"/>
        <w:ind w:firstLine="420"/>
        <w:jc w:val="both"/>
        <w:rPr>
          <w:rFonts w:ascii="Times New Roman" w:hAnsi="Times New Roman" w:eastAsia="宋体"/>
          <w:sz w:val="24"/>
          <w:szCs w:val="24"/>
        </w:rPr>
      </w:pPr>
    </w:p>
    <w:p ns2:paraId="187C13EB">
      <w:pPr>
        <w:spacing w:before="0" w:after="0" w:line="420" w:lineRule="auto"/>
        <w:ind w:firstLine="420"/>
        <w:jc w:val="both"/>
        <w:rPr>
          <w:rFonts w:ascii="Times New Roman" w:hAnsi="Times New Roman" w:eastAsia="宋体"/>
          <w:sz w:val="24"/>
          <w:szCs w:val="24"/>
        </w:rPr>
      </w:pPr>
    </w:p>
    <w:p ns2:paraId="1DAA1B29">
      <w:pPr>
        <w:spacing w:before="0" w:after="0" w:line="420" w:lineRule="auto"/>
        <w:ind w:firstLine="420"/>
        <w:jc w:val="both"/>
        <w:rPr>
          <w:rFonts w:ascii="Times New Roman" w:hAnsi="Times New Roman" w:eastAsia="宋体"/>
          <w:sz w:val="24"/>
          <w:szCs w:val="24"/>
        </w:rPr>
      </w:pPr>
    </w:p>
    <w:p ns2:paraId="103A39A0">
      <w:pPr>
        <w:spacing w:before="0" w:after="0" w:line="420" w:lineRule="auto"/>
        <w:ind w:firstLine="420"/>
        <w:jc w:val="both"/>
        <w:rPr>
          <w:rFonts w:ascii="Times New Roman" w:hAnsi="Times New Roman" w:eastAsia="宋体"/>
          <w:sz w:val="24"/>
          <w:szCs w:val="24"/>
        </w:rPr>
      </w:pPr>
    </w:p>
    <w:p ns2:paraId="6E9261C9">
      <w:pPr>
        <w:spacing w:before="0" w:after="0" w:line="420" w:lineRule="auto"/>
        <w:ind w:firstLine="420"/>
        <w:jc w:val="both"/>
        <w:rPr>
          <w:rFonts w:ascii="Times New Roman" w:hAnsi="Times New Roman" w:eastAsia="宋体"/>
          <w:sz w:val="24"/>
          <w:szCs w:val="24"/>
        </w:rPr>
      </w:pPr>
    </w:p>
    <w:p ns2:paraId="02FB14A3">
      <w:pPr>
        <w:spacing w:before="0" w:after="0" w:line="420" w:lineRule="auto"/>
        <w:ind w:firstLine="420"/>
        <w:jc w:val="both"/>
        <w:rPr>
          <w:rFonts w:ascii="Times New Roman" w:hAnsi="Times New Roman" w:eastAsia="宋体"/>
          <w:sz w:val="24"/>
          <w:szCs w:val="24"/>
        </w:rPr>
      </w:pPr>
    </w:p>
    <w:p ns2:paraId="40F027FD">
      <w:pPr>
        <w:spacing w:before="0" w:after="0" w:line="420" w:lineRule="auto"/>
        <w:ind w:firstLine="420"/>
        <w:jc w:val="both"/>
        <w:rPr>
          <w:rFonts w:ascii="Times New Roman" w:hAnsi="Times New Roman" w:eastAsia="宋体"/>
          <w:sz w:val="24"/>
          <w:szCs w:val="24"/>
        </w:rPr>
      </w:pPr>
    </w:p>
    <w:p ns2:paraId="4887AC82">
      <w:pPr>
        <w:spacing w:before="0" w:after="0" w:line="420" w:lineRule="auto"/>
        <w:jc w:val="both"/>
        <w:rPr>
          <w:rFonts w:ascii="Times New Roman" w:hAnsi="Times New Roman" w:eastAsia="宋体"/>
          <w:sz w:val="24"/>
          <w:szCs w:val="24"/>
        </w:rPr>
      </w:pPr>
    </w:p>
    <w:p ns2:paraId="76CA5098">
      <w:pPr>
        <w:spacing w:before="0" w:after="40" w:line="420" w:lineRule="auto"/>
        <w:jc w:val="center"/>
      </w:pPr>
      <w:r>
        <w:t>综合来看，当前证据更支持“接口优先、前端规范先行、局部链条成立”的判断，而不支持“完整稳定的强中介链条已经建立”。这一点需要明确写出。否则，文本证据部分很容易被误写成一个比数据更完整的故事。对本文而言，较为稳妥的表述应是：数字化改革首先改变了政府接口、数据协同和前端程序环境，并伴随采购—执行治理维度的阶段性响应；但这些变化主要体现为治理表达和制度重心的调整，而不是一条从前端到后端均稳定显著、方向单调的强中介链条。</w:t>
      </w:r>
    </w:p>
    <w:tbl>
      <w:tblPr>
        <w:tblStyle w:val="2"/>
        <w:tblW w:w="8522"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460"/>
        <w:gridCol w:w="2238"/>
        <w:gridCol w:w="2035"/>
        <w:gridCol w:w="520"/>
        <w:gridCol w:w="2269"/>
      </w:tblGrid>
      <w:tr ns2:paraId="6BEC2F4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69D92BC7">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机制层级</w:t>
            </w:r>
          </w:p>
        </w:tc>
        <w:tc>
          <w:tcPr>
            <w:tcW w:w="2238"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41677DFE">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核心链条/结果</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08D411AA">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核心系数与显著性</w:t>
            </w:r>
          </w:p>
        </w:tc>
        <w:tc>
          <w:tcPr>
            <w:tcW w:w="52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AD70ADE">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N</w:t>
            </w:r>
          </w:p>
        </w:tc>
        <w:tc>
          <w:tcPr>
            <w:tcW w:w="226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D0C74E5">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结论</w:t>
            </w:r>
          </w:p>
        </w:tc>
      </w:tr>
      <w:tr ns2:paraId="17AE9D5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72DEEF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A维度先行响应</w:t>
            </w:r>
          </w:p>
        </w:tc>
        <w:tc>
          <w:tcPr>
            <w:tcW w:w="2238"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D8C562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treat_share→A_idx</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72ACBB38">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175.5750*** [p=&lt;0.001]</w:t>
            </w:r>
          </w:p>
        </w:tc>
        <w:tc>
          <w:tcPr>
            <w:tcW w:w="5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94B73E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99A820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接口维度显著先行</w:t>
            </w:r>
          </w:p>
        </w:tc>
      </w:tr>
      <w:tr ns2:paraId="2D2BAC5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1709471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前端规范响应</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1BE3854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treat_share→B_idx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975E33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-296.7251***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7D2A771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137639F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B维度发生显著调整</w:t>
            </w:r>
          </w:p>
        </w:tc>
      </w:tr>
      <w:tr ns2:paraId="1064C72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DB701D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链式传导</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7D9F3BD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B_idx→C_idx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AE048F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0.8578***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6B81A6D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0797CFF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前端规范向采购执行维度传导</w:t>
            </w:r>
          </w:p>
        </w:tc>
      </w:tr>
      <w:tr ns2:paraId="1DACD69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4B3EE1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链式传导</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60BFB07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C_idx→D_idx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F9F949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0.0934***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05F4166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77B50F0B">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后端风险约束存在局部传导</w:t>
            </w:r>
          </w:p>
        </w:tc>
      </w:tr>
      <w:tr ns2:paraId="673623E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740286D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后端直接效应</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46A92C6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treat_share→D_idx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2D35B4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0.0533 [p=0.999]</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25C253C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18DD0C2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未观察到稳定直接响应</w:t>
            </w:r>
          </w:p>
        </w:tc>
      </w:tr>
      <w:tr ns2:paraId="797DF03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DBF2A4F">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0877AE6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exec_share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0D460B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did=0.3074*** [p=0.008]</w:t>
            </w:r>
          </w:p>
          <w:p ns2:paraId="30BCB4C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[p=0.283]</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09D09C7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00E08D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直接效应存在，中介项不稳</w:t>
            </w:r>
          </w:p>
        </w:tc>
      </w:tr>
      <w:tr ns2:paraId="716F1F6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9E0EBD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581EB09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proc_share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32E4B8D">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did=-0.3575*** [p=0.002]</w:t>
            </w:r>
          </w:p>
          <w:p ns2:paraId="420FB13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[p=0.310]</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155B128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5DB366B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直接效应存在，中介项不稳</w:t>
            </w:r>
          </w:p>
        </w:tc>
      </w:tr>
      <w:tr ns2:paraId="275EF93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EB079A7">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44849E1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ppp_quality_zindex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986AA3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did=0.4663 [p=0.271]</w:t>
            </w:r>
          </w:p>
          <w:p ns2:paraId="24C3917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[p=0.321]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466CC6F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5D8F117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质量型结果不稳</w:t>
            </w:r>
          </w:p>
        </w:tc>
      </w:tr>
      <w:tr ns2:paraId="1507D02F">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4159A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1A686EE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E38D0A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ab=0.0415</w:t>
            </w:r>
          </w:p>
          <w:p ns2:paraId="3135127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p=0.364</w:t>
            </w:r>
          </w:p>
          <w:p ns2:paraId="119FFD4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CI=[-0.279, 0.163]</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69CFF41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21736737">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r ns2:paraId="219A7D6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39BABF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47F6D8C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41AC3F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ab=-0.0391</w:t>
            </w:r>
          </w:p>
          <w:p ns2:paraId="6725A345">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p=0.377</w:t>
            </w:r>
          </w:p>
          <w:p ns2:paraId="5A03BCE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CI=[-0.157, 0.264]</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0FCE3EC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6D7CF9C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r ns2:paraId="2F05553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6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26FDC67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492C4108">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ppp_quality_zindex</w:t>
            </w:r>
          </w:p>
        </w:tc>
        <w:tc>
          <w:tcPr>
            <w:tcW w:w="203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4EB1FA0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ab=0.0406</w:t>
            </w:r>
          </w:p>
          <w:p ns2:paraId="0C08C5C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p=0.512</w:t>
            </w:r>
          </w:p>
          <w:p ns2:paraId="471EF2D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CI=[-0.416, 0.201]</w:t>
            </w:r>
          </w:p>
        </w:tc>
        <w:tc>
          <w:tcPr>
            <w:tcW w:w="5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0BA939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619708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bl>
    <w:p ns2:paraId="68967DF6">
      <w:pPr>
        <w:spacing w:before="0" w:after="0" w:line="420" w:lineRule="auto"/>
        <w:ind w:firstLine="420"/>
        <w:jc w:val="both"/>
      </w:pPr>
      <w:r>
        <w:t>从公共管理角度看，这一结果的含义在于，PPP治理过程的改善首先依赖制度接口和程序环境的调整，而非所有治理环节同步升级；从证据边界看，表5支持的是部分机制和阶段性传导，而不是完整闭合的机制证明。与此同时，由于A/B/C/D维度均来自政策文本的省—年聚合结果，当前稿件更适合将其解释为制度表达与治理重心的重分布证据，而不是与主识别并列的独立因果机制识别。为避免同源文本被误读为独立机制，本轮在附录E中单列说明处理变量与文本证据线索的来源边界。</w:t>
      </w:r>
    </w:p>
    <w:p ns2:paraId="736049D1">
      <w:pPr>
        <w:spacing w:before="100" w:after="40" w:line="420" w:lineRule="auto"/>
        <w:jc w:val="left"/>
      </w:pPr>
      <w:r>
        <w:t>5.5 异质性分析</w:t>
      </w:r>
    </w:p>
    <w:p ns2:paraId="45E15243">
      <w:pPr>
        <w:spacing w:before="0" w:after="0" w:line="420" w:lineRule="auto"/>
        <w:ind w:firstLine="420"/>
        <w:jc w:val="both"/>
      </w:pPr>
      <w:r>
        <w:t>在主结果和机制线索之外，本文进一步考察改革效应是否在不同治理环境下存在差异。异质性分析的作用是补充适用边界，而不是生成第二主结论，因此其解释强度必须低于基准结果和机制分析。</w:t>
      </w:r>
    </w:p>
    <w:p ns2:paraId="076A2F21">
      <w:pPr>
        <w:spacing w:before="0" w:after="0" w:line="420" w:lineRule="auto"/>
        <w:ind w:firstLine="420"/>
        <w:jc w:val="both"/>
      </w:pPr>
      <w:r>
        <w:t>表6报告了围绕数字金融基础、风险暴露和政府数据开放度等维度的交互检验结果。整体上看，大多数交互项并未形成稳定显著，尤其在exec_share与proc_share这两个核心推进结构指标上，异质性结果并不充分。这意味着，当前材料不足以支持将某一类地区或治理环境写成改革效应的决定性条件。少数质量型结果上虽出现局部差异信号，但考虑到ppp_quality_zindex本身不承担主结论，这些局部差异也不宜被进一步放大。</w:t>
      </w:r>
    </w:p>
    <w:p ns2:paraId="3C9B636F">
      <w:pPr>
        <w:spacing w:before="0" w:after="40" w:line="420" w:lineRule="auto"/>
        <w:jc w:val="center"/>
      </w:pPr>
      <w:r>
        <w:t>因此，本文对异质性部分的处理是保守的。它更多说明数字化改革的推进结构效应在不同治理环境中可能存在程度差异，但现阶段并不足以据此重写主结论。对公共管理研究而言，表6的价值主要在于提示适用边界和情境差异，而不是提供一组新的中心发现。若版面受限，这一部分也可以转入附录，而不影响全文主论证。</w:t>
      </w:r>
    </w:p>
    <w:tbl>
      <w:tblPr>
        <w:tblStyle w:val="2"/>
        <w:tblW w:w="8803"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463"/>
        <w:gridCol w:w="1932"/>
        <w:gridCol w:w="1075"/>
        <w:gridCol w:w="1429"/>
        <w:gridCol w:w="500"/>
        <w:gridCol w:w="2404"/>
      </w:tblGrid>
      <w:tr ns2:paraId="7F609BC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25BE597E">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异质性维度</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0B8A58C">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结果变量</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75DCCF2">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交互项</w:t>
            </w:r>
          </w:p>
        </w:tc>
        <w:tc>
          <w:tcPr>
            <w:tcW w:w="142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1CE76DD2">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交互结果</w:t>
            </w:r>
          </w:p>
        </w:tc>
        <w:tc>
          <w:tcPr>
            <w:tcW w:w="50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2B987AC7">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N</w:t>
            </w:r>
          </w:p>
        </w:tc>
        <w:tc>
          <w:tcPr>
            <w:tcW w:w="240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3EA064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解释</w:t>
            </w:r>
          </w:p>
        </w:tc>
      </w:tr>
      <w:tr ns2:paraId="2BF3817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70B43B0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区域异质性</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34C04CA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2E029FC4">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59D7EF9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-0.4554*** [p=&lt;0.001]</w:t>
            </w:r>
          </w:p>
        </w:tc>
        <w:tc>
          <w:tcPr>
            <w:tcW w:w="50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1D6A3E8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37B948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ns2:paraId="3B70B9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E9AD39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区域异质性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DA4C0A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88220C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6FBD55F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0.4188*** [p=&lt;0.001]</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3B92B41F">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0E78252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ns2:paraId="043B7A4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43AAF20">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治理基础高低</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3B15FE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B3ACB3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6FD8A260">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-0.4548*** [p=&lt;0.001]</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370392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26CCA51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ns2:paraId="7C703B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E52253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10D17DF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1A7E6FC">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6AD4630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-0.2440 [p=0.368]</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67471B7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38CFFAE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ns2:paraId="6A8F9D5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D6A74A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B6ED2A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56B822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3927EDB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0.2259 [p=0.337]</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69743A3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063AB1B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ns2:paraId="6FCE63B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1E8D1D4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B8D88C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E6FEAA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700B79F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-0.0879 [p=0.916]</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53D841B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4FC38AE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ns2:paraId="5021786E">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73FA21E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E3BE90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5C7777B">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0A9BEF0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0.1190 [p=0.747]</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54C02315">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39A152C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r ns2:paraId="47A27C7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11A7F56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7043DA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B2704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7DF6A77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-0.2328 [p=0.535]</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75EED93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15F2987D">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r ns2:paraId="2B3C4B6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46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2EF6B76D">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193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9AA630E">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107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18EF7D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699637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-0.8604 [p=0.481]</w:t>
            </w:r>
          </w:p>
        </w:tc>
        <w:tc>
          <w:tcPr>
            <w:tcW w:w="50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75A3D674">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584EB33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bl>
    <w:p ns2:paraId="40047F1B">
      <w:pPr>
        <w:spacing w:before="100" w:after="40" w:line="420" w:lineRule="auto"/>
        <w:jc w:val="left"/>
      </w:pPr>
      <w:r>
        <w:t>5.6 稳健性检验与主识别防守</w:t>
      </w:r>
    </w:p>
    <w:p ns2:paraId="4ED499A3">
      <w:pPr>
        <w:spacing w:before="0" w:after="0" w:line="420" w:lineRule="auto"/>
        <w:ind w:firstLine="420"/>
        <w:jc w:val="both"/>
      </w:pPr>
      <w:r>
        <w:t>本节并不引入新的主识别策略，而是围绕表4所报告的treat_share多期DID/TWFE主结果，按“趋势风险—单一区域驱动—有限聚类推断”三个问题逐项防守，并同时明确其证据边界。正文叙述与附录D同步报告标准聚类结果、trend-adjusted DID和wild cluster bootstrap的关键数值。相较之下，stack DID、cohort ATT以及动态补充识别仅保留为边界诊断，不再承担正文中的主防守功能。</w:t>
      </w:r>
    </w:p>
    <w:p>
      <w:r>
        <w:t xml:space="preserve">【v2e防守层级与 rerun 边界】本节遵循“主识别—防守检验—边界诊断”的三层结构。当前 fresh rerun 显示，trend-adjusted DID 下 proc_share 仍为负向且边际显著，exec_share 方向保持正向但统计强度下降；wild cluster bootstrap 下 exec_share 与 proc_share 方向仍与基准一致，但 p 值提示有限聚类下的推断强度弱于标准聚类结果。上述结果支持“结构性改善方向仍可防守”的表述，但不能写成“所有补充检验均强化主结果”，更不能把 ppp_quality_zindex 抬升为治理质量全面改善的主结论。</w:t>
      </w:r>
    </w:p>
    <w:p ns2:paraId="532AF634">
      <w:pPr>
        <w:spacing w:before="100" w:after="40" w:line="420" w:lineRule="auto"/>
        <w:jc w:val="left"/>
      </w:pPr>
      <w:r>
        <w:t>5.6.1 趋势调整型防守检验</w:t>
      </w:r>
    </w:p>
    <w:p ns2:paraId="76682969">
      <w:pPr>
        <w:spacing w:before="0" w:after="0" w:line="420" w:lineRule="auto"/>
        <w:ind w:firstLine="420"/>
        <w:jc w:val="both"/>
      </w:pPr>
      <w:r>
        <w:t>鉴于前文事件研究中的领先项并非完全平稳，本文在正式主规格之外进一步加入省份线性时间趋势，对主结果进行趋势调整型DID检验。该检验保持正式主面板、处理变量、控制变量、地区固定效应和年份固定效应不变，仅额外控制省级线性趋势，因此其作用在于回应“省际异质趋势可能影响主结果”的识别顾虑，而不是替代表4中的主识别框架。趋势调整后的结果表明，采购阶段占比下降这一核心结果仍保持显著负向：proc_share的系数为-0.3521，p = 0.0485，说明推进结构中的“采购向执行转换”并不完全依赖共同趋势设定；执行阶段占比上升在方向上保持一致，但统计强度明显减弱，exec_share的系数为0.2263，p = 0.1945，表明这一判断更容易受到趋势设定影响；综合治理质量口径在趋势调整后反而转为负向且p = 0.6780，更不能被提升为稳健主结论。就防守价值而言，采购阶段占比是三项结果中最强的一项，执行阶段占比主要体现为方向稳定但强度更敏感，综合治理质量口径则继续只能作为边界性结果处理。图8A、表8与附录D共同服务于这一层防守性说明。</w:t>
      </w:r>
    </w:p>
    <w:p ns2:paraId="440A0EDF">
      <w:pPr>
        <w:spacing w:before="0" w:after="40" w:line="420" w:lineRule="auto"/>
        <w:jc w:val="center"/>
      </w:pPr>
      <w:r>
        <w:t>表8 主识别防守型稳健性检验摘要</w:t>
      </w:r>
    </w:p>
    <w:tbl>
      <w:tblPr>
        <w:tblStyle w:val="2"/>
        <w:tblW w:w="9326"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305"/>
        <w:gridCol w:w="1519"/>
        <w:gridCol w:w="1429"/>
        <w:gridCol w:w="2053"/>
        <w:gridCol w:w="3020"/>
      </w:tblGrid>
      <w:tr ns2:paraId="73F1779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12EB8CD0">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检验层级</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7CA3D60C">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exec_share</w:t>
            </w:r>
          </w:p>
        </w:tc>
        <w:tc>
          <w:tcPr>
            <w:tcW w:w="142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7F524504">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proc_share</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10E5B2AF">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ppp_quality_zindex</w:t>
            </w:r>
          </w:p>
        </w:tc>
        <w:tc>
          <w:tcPr>
            <w:tcW w:w="302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7DDD1F15">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写作口径</w:t>
            </w:r>
          </w:p>
        </w:tc>
      </w:tr>
      <w:tr ns2:paraId="1BFBE69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7FA98C4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常规稳健性：主规格锚定</w:t>
            </w:r>
          </w:p>
        </w:tc>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3AFBF041">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0.3600*** [p=&lt;0.001]</w:t>
            </w:r>
          </w:p>
        </w:tc>
        <w:tc>
          <w:tcPr>
            <w:tcW w:w="1429"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0255A4B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-0.4065*** [p=&lt;0.001]</w:t>
            </w:r>
          </w:p>
        </w:tc>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337C9F9E">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0.5226 [p=0.247]</w:t>
            </w:r>
          </w:p>
        </w:tc>
        <w:tc>
          <w:tcPr>
            <w:tcW w:w="3020"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549209C1">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ns2:paraId="1F5651E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7E41CFE2">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常规稳健性：滞后一期控制变量</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4C4BC5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0.4197*** [p=&lt;0.001]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59F9AB50">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-0.5187*** [p=&lt;0.001]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90E2E97">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0.1865 [p=0.588]</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5C6B7A0D">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ns2:paraId="63BE237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2AE1EA8">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常规稳健性：剔除直辖市与兵团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1CF2E7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0.3419*** [p=&lt;0.001]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5F3D146A">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-0.3968*** [p=&lt;0.001]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4C8F23F">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0.5040 [p=0.296]</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248DEA01">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ns2:paraId="61460CB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CF13CED">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PSM-DID敏感性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1E3AD50">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-0.5361* [p=0.0871]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2C118A6C">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0.3104 [p=0.3739]</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A22950B">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-2.6389*** [p=0.0]</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7097682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匹配样本结果敏感，作为识别边界而非强化证据</w:t>
            </w:r>
          </w:p>
        </w:tc>
      </w:tr>
      <w:tr ns2:paraId="71FDD0F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CFB90F8">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DML高维稳健性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D04A2BF">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0.1730 [p=0.200]</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54E98B3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-0.1656 [p=0.212]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B88693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0.3129 [p=0.104]</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7CD0AA00">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三项结果方向一致，但统计强度有限</w:t>
            </w:r>
          </w:p>
        </w:tc>
      </w:tr>
      <w:tr ns2:paraId="74D6415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05F3ECC">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IV可行性评估</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2A5F9C1">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最优候选：digital_econ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24A5AAC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一阶段t=1.515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CD2BC8E">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recommended=No</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5A135C9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当前V3主面板下一阶段相关性不足，不能写成正式IV结果</w:t>
            </w:r>
          </w:p>
        </w:tc>
      </w:tr>
      <w:tr ns2:paraId="00A0476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305"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4358797B">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安慰剂检验</w:t>
            </w:r>
          </w:p>
        </w:tc>
        <w:tc>
          <w:tcPr>
            <w:tcW w:w="1519"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5E68DE3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均值=0.0038</w:t>
            </w:r>
          </w:p>
        </w:tc>
        <w:tc>
          <w:tcPr>
            <w:tcW w:w="1429"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519C32D2">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95%分位=0.1273</w:t>
            </w:r>
          </w:p>
        </w:tc>
        <w:tc>
          <w:tcPr>
            <w:tcW w:w="2053"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02D641A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99%分位=0.1661</w:t>
            </w:r>
          </w:p>
        </w:tc>
        <w:tc>
          <w:tcPr>
            <w:tcW w:w="3020"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506332EC">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随机置换系数围绕零值分布，作为补充性稳健性支持</w:t>
            </w:r>
          </w:p>
        </w:tc>
      </w:tr>
    </w:tbl>
    <w:p ns2:paraId="26AA50D4">
      <w:pPr>
        <w:spacing w:before="60" w:after="60" w:line="360" w:lineRule="auto"/>
        <w:jc w:val="center"/>
      </w:pPr>
      <w:r>
        <w:drawing>
          <ns3:inline distT="0" distB="0" distL="0" distR="0">
            <ns3:extent cx="5577840" cy="3408680"/>
            <ns3:effectExtent l="0" t="0" r="0" b="0"/>
            <ns3:docPr id="8" name="image8.png"/>
            <ns3:cNvGraphicFramePr>
              <ns4:graphicFrameLocks noChangeAspect="1"/>
            </ns3:cNvGraphicFramePr>
            <ns4:graphic>
              <ns4:graphicData uri="http://schemas.openxmlformats.org/drawingml/2006/picture">
                <ns5:pic>
                  <ns5:nvPicPr>
                    <ns5:cNvPr id="8" name="image8.png"/>
                    <ns5:cNvPicPr>
                      <ns4:picLocks noChangeAspect="1"/>
                    </ns5:cNvPicPr>
                  </ns5:nvPicPr>
                  <ns5:blipFill>
                    <ns4:blip ns6:embed="rId11"/>
                    <ns4:stretch>
                      <ns4:fillRect/>
                    </ns4:stretch>
                  </ns5:blipFill>
                  <ns5:spPr>
                    <ns4:xfrm>
                      <ns4:off x="0" y="0"/>
                      <ns4:ext cx="5577840" cy="3408680"/>
                    </ns4:xfrm>
                    <ns4:prstGeom prst="rect">
                      <ns4:avLst/>
                    </ns4:prstGeom>
                  </ns5:spPr>
                </ns5:pic>
              </ns4:graphicData>
            </ns4:graphic>
          </ns3:inline>
        </w:drawing>
      </w:r>
    </w:p>
    <w:p ns2:paraId="025A7CF5">
      <w:pPr>
        <w:spacing w:before="0" w:after="60" w:line="420" w:lineRule="auto"/>
        <w:jc w:val="center"/>
      </w:pPr>
      <w:r>
        <w:t>图8 主识别防守型补充诊断图：A. 趋势调整型DID与基准DID的结果比较；B. 逐省剔除诊断下核心结果的稳定性</w:t>
      </w:r>
    </w:p>
    <w:p ns2:paraId="532AF634">
      <w:pPr>
        <w:spacing w:before="100" w:after="40" w:line="420" w:lineRule="auto"/>
        <w:jc w:val="left"/>
      </w:pPr>
      <w:r>
        <w:t>5.6.2 单一地区驱动风险诊断：逐省剔除检验</w:t>
      </w:r>
    </w:p>
    <w:p ns2:paraId="52B15289">
      <w:pPr>
        <w:spacing w:before="0" w:after="0" w:line="420" w:lineRule="auto"/>
        <w:ind w:firstLine="420"/>
        <w:jc w:val="both"/>
      </w:pPr>
      <w:r>
        <w:t>为了判断主结果是否主要由个别地区驱动，本文进一步实施逐省剔除检验。在保持处理变量、控制变量、固定效应和聚类口径不变的前提下，依次删除单个省份并重新估计主规格，以观察核心系数的方向是否翻转，以及统计强度是否对个别地区存在明显敏感性。结果显示，执行阶段占比与采购阶段占比在删除任一单一省份后均未发生符号翻转，这意味着推进结构改善这一核心判断并非由单一地区机械驱动；与此同时，两项结果的统计强度对个别地区仍存在一定敏感性，因此更稳妥的写法应是“方向稳定，但强度仍受样本扰动影响”，而不是“完全不受地区结构影响”。相较之下，综合治理质量口径的波动更大，因而更不宜承担稳健主发现。图8B与表8共同承担这一诊断功能。</w:t>
      </w:r>
    </w:p>
    <w:p ns2:paraId="33C848FC">
      <w:pPr>
        <w:spacing w:before="60" w:after="60" w:line="360" w:lineRule="auto"/>
        <w:jc w:val="center"/>
      </w:pPr>
      <w:r>
        <w:drawing>
          <ns3:inline distT="0" distB="0" distL="0" distR="0">
            <ns3:extent cx="5577840" cy="3218815"/>
            <ns3:effectExtent l="0" t="0" r="0" b="0"/>
            <ns3:docPr id="9" name="image9.png"/>
            <ns3:cNvGraphicFramePr>
              <ns4:graphicFrameLocks noChangeAspect="1"/>
            </ns3:cNvGraphicFramePr>
            <ns4:graphic>
              <ns4:graphicData uri="http://schemas.openxmlformats.org/drawingml/2006/picture">
                <ns5:pic>
                  <ns5:nvPicPr>
                    <ns5:cNvPr id="9" name="image9.png"/>
                    <ns5:cNvPicPr>
                      <ns4:picLocks noChangeAspect="1"/>
                    </ns5:cNvPicPr>
                  </ns5:nvPicPr>
                  <ns5:blipFill>
                    <ns4:blip ns6:embed="rId12"/>
                    <ns4:stretch>
                      <ns4:fillRect/>
                    </ns4:stretch>
                  </ns5:blipFill>
                  <ns5:spPr>
                    <ns4:xfrm>
                      <ns4:off x="0" y="0"/>
                      <ns4:ext cx="5577840" cy="3219021"/>
                    </ns4:xfrm>
                    <ns4:prstGeom prst="rect">
                      <ns4:avLst/>
                    </ns4:prstGeom>
                  </ns5:spPr>
                </ns5:pic>
              </ns4:graphicData>
            </ns4:graphic>
          </ns3:inline>
        </w:drawing>
      </w:r>
    </w:p>
    <w:p ns2:paraId="532AF634">
      <w:pPr>
        <w:spacing w:before="100" w:after="40" w:line="420" w:lineRule="auto"/>
        <w:jc w:val="left"/>
      </w:pPr>
      <w:r>
        <w:t>5.6.3 Wild Cluster Bootstrap 与更保守推断边界</w:t>
      </w:r>
    </w:p>
    <w:p ns2:paraId="7EA9AC05">
      <w:pPr>
        <w:spacing w:before="0" w:after="0" w:line="420" w:lineRule="auto"/>
        <w:ind w:firstLine="420"/>
        <w:jc w:val="both"/>
      </w:pPr>
      <w:r>
        <w:t>考虑到正式基准样本的地区聚类数量有限，本文进一步采用更保守的wild cluster bootstrap作为小样本推断层面的补充说明。该部分不改变估计框架，也不改变结果方向判断，其作用只是检验在更严格的推断标准下，核心推进结构结论是否仍保留相同的方向层级。为避免“表内显著、附录保守”造成的信息分裂，本轮将wild结果纳入主识别防守叙述，并在附录D汇总报告。结果表明，执行阶段占比与采购阶段占比的方向与基准DID保持一致，但统计强度进一步减弱：exec_share的wild cluster bootstrap p值为0.0761，proc_share为0.1221，ppp_quality_zindex为0.2372。也就是说，在更保守的有限聚类推断下，推进结构重组的方向判断仍被保留，但已不足以支撑强因果措辞；其中采购阶段占比下降的方向更稳定，执行阶段占比上升则更依赖模型设定与样本扰动。因而，这一层证据更适合作为边界说明，而不构成对主识别的额外强化。此外，随机置换得到的安慰剂分布整体围绕零值展开，相关图示仅作为补充材料中的诊断性展示，不承担正文主防守功能。</w:t>
      </w:r>
    </w:p>
    <w:p ns2:paraId="5DAC762E">
      <w:pPr>
        <w:spacing w:before="0" w:after="60" w:line="420" w:lineRule="auto"/>
        <w:jc w:val="center"/>
      </w:pPr>
      <w:r>
        <w:t>图9 安慰剂分布图（补充诊断）</w:t>
      </w:r>
    </w:p>
    <w:p ns2:paraId="15EBBA3D">
      <w:pPr>
        <w:spacing w:before="0" w:after="0" w:line="420" w:lineRule="auto"/>
        <w:ind w:firstLine="420"/>
        <w:jc w:val="both"/>
      </w:pPr>
      <w:r>
        <w:t>5.6.4 其他补充识别结果（简述）</w:t>
      </w:r>
    </w:p>
    <w:p ns2:paraId="7EA9AC05">
      <w:pPr>
        <w:spacing w:before="0" w:after="0" w:line="420" w:lineRule="auto"/>
        <w:ind w:firstLine="420"/>
        <w:jc w:val="both"/>
      </w:pPr>
      <w:r>
        <w:t>本文同时保留了stack DID、cohort ATT、动态补充识别、PSM-DID、DML和候选工具变量筛查，但这些方法的功能均限于边界诊断而非结论抬升。前两者主要用于观察核心结果是否对处理时点结构异常敏感；动态补充识别只用于提示前趋势风险是否仍需保留；PSM-DID在当前样本下结果敏感且部分口径出现方向反转，DML只提供方向一致而非稳定显著的高维稳健性线索，候选工具变量的一阶段也不足以支撑正式IV识别。正因如此，正文只保留其方法性说明，而不把它们抬升为主防守层，更不将其写成对表4主结果的额外强化。</w:t>
      </w:r>
    </w:p>
    <w:p ns2:paraId="3F854742">
      <w:pPr>
        <w:spacing w:before="100" w:after="40" w:line="420" w:lineRule="auto"/>
        <w:jc w:val="left"/>
      </w:pPr>
      <w:r>
        <w:t>5.7 项目级扩展分析：高低风险的辅助识别</w:t>
      </w:r>
    </w:p>
    <w:p ns2:paraId="62CAE315">
      <w:pPr>
        <w:spacing w:before="0" w:after="0" w:line="420" w:lineRule="auto"/>
        <w:ind w:firstLine="420"/>
        <w:jc w:val="both"/>
      </w:pPr>
      <w:r>
        <w:t>从风险治理与多源文本研究的视角看，项目级模型的合理定位并不是替代制度识别，而是在既有治理框架之内提高前端筛查与风险排序效率（范柏乃、盛中华，2024；范小云等，2022；刘敏等，2025）。也正因如此，本文将第5.7节置于主识别之后：其任务不是重新解释前文的因果结果，而是考察文本与结构变量在项目层面能否转化为具有现实操作性的辅助识别工具。</w:t>
      </w:r>
    </w:p>
    <w:p ns2:paraId="21613630">
      <w:pPr>
        <w:spacing w:before="0" w:after="0" w:line="420" w:lineRule="auto"/>
        <w:ind w:firstLine="420"/>
        <w:jc w:val="both"/>
      </w:pPr>
      <w:r>
        <w:t>表9报告了六类模型在严格版项目底表上的预测表现。总体看，Blending模型的AUC为0.8593，略高于XGBoost的0.8589和CatBoost的0.8557；Logistic模型的总体AUC略低，但Recall达到0.7382，在高风险项目召回方面更有优势；RandomForest整体表现相对较弱。结合正式README的边界说明，这些结果只能说明：在结构性标签定义清晰、文本变量与标签严格分离的条件下，PPP项目的极端高低风险具有中等偏强的可识别性。</w:t>
      </w:r>
    </w:p>
    <w:p ns2:paraId="54F559D0">
      <w:pPr>
        <w:spacing w:before="0" w:after="40" w:line="420" w:lineRule="auto"/>
        <w:jc w:val="center"/>
      </w:pPr>
      <w:r>
        <w:t>这里需要坚持两条边界。第一，表9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也正因为如此，本文将第5.7节压缩为扩展分析而非全文压轴，其作用是补充说明文本和结构变量在项目层面的应用潜力，而不是改变全文主线。</w:t>
      </w:r>
    </w:p>
    <w:p ns2:paraId="0EB64389">
      <w:pPr>
        <w:spacing w:before="0" w:after="40" w:line="420" w:lineRule="auto"/>
        <w:jc w:val="both"/>
      </w:pPr>
    </w:p>
    <w:p ns2:paraId="7024C971">
      <w:pPr>
        <w:spacing w:before="0" w:after="40" w:line="420" w:lineRule="auto"/>
        <w:jc w:val="both"/>
      </w:pPr>
    </w:p>
    <w:p ns2:paraId="658FFB74">
      <w:pPr>
        <w:spacing w:before="0" w:after="40" w:line="420" w:lineRule="auto"/>
        <w:jc w:val="both"/>
      </w:pPr>
    </w:p>
    <w:tbl>
      <w:tblPr>
        <w:tblStyle w:val="2"/>
        <w:tblW w:w="8941"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3600"/>
        <w:gridCol w:w="802"/>
        <w:gridCol w:w="802"/>
        <w:gridCol w:w="803"/>
        <w:gridCol w:w="1051"/>
        <w:gridCol w:w="803"/>
        <w:gridCol w:w="1080"/>
      </w:tblGrid>
      <w:tr ns2:paraId="5F06C35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3020"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1F9916D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模型</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3C14D4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AUC</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0A8E0A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AP</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71D976F">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F1</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73BA958">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Precision</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16ACAD1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Recall</w:t>
            </w:r>
          </w:p>
        </w:tc>
        <w:tc>
          <w:tcPr>
            <w:tcW w:w="115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4A9130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Accuracy</w:t>
            </w:r>
          </w:p>
        </w:tc>
      </w:tr>
      <w:tr ns2:paraId="35251D4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83EAD21">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Blending(RF+XGB+LGBM+CATB)</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548734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0.8593</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78BCA121">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0.6914</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7A05D789">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0.5301</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3437626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0.7974</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18F1036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0.3970</w:t>
            </w:r>
          </w:p>
        </w:tc>
        <w:tc>
          <w:tcPr>
            <w:tcW w:w="115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60F48B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0.8688</w:t>
            </w:r>
          </w:p>
        </w:tc>
      </w:tr>
      <w:tr ns2:paraId="280D999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6972B2E8">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XGBoost</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51AE1AAC">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0.8589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5F7DFC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0.6895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873AA5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0.5617</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9E1599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0.7638</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4EE5107F">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ns2:paraId="38CD4CF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0.8708</w:t>
            </w:r>
          </w:p>
        </w:tc>
      </w:tr>
      <w:tr ns2:paraId="4C0693D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17411DE8">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CatBoost</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374022A">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0.8557</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68C2043A">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0.6910</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004A0A3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0.5595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BC5B04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0.7555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74AC727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ns2:paraId="104147A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0.8696</w:t>
            </w:r>
          </w:p>
        </w:tc>
      </w:tr>
      <w:tr ns2:paraId="375A761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3A06141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Logistic</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49E3385">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0.8537</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76ADF90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0.6515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7B2601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0.5840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888FA0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0.4831</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17B2ECC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0.7382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ns2:paraId="004175E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0.8040</w:t>
            </w:r>
          </w:p>
        </w:tc>
      </w:tr>
      <w:tr ns2:paraId="7A0C233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7DDFB44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LightGBM</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2362EB66">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0.8519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5F2EFD1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0.6769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2BFD6DD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0.5483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12B542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0.7163</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F17AEE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ns2:paraId="00925D7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0.8636</w:t>
            </w:r>
          </w:p>
        </w:tc>
      </w:tr>
      <w:tr ns2:paraId="33D7284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F26052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RandomForest</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2D9453B6">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0.8311</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093E17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0.6386</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19B9828">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0.1857</w:t>
            </w:r>
          </w:p>
        </w:tc>
        <w:tc>
          <w:tcPr>
            <w:tcW w:w="11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A41706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0.9412</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BE029D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0.1030</w:t>
            </w:r>
          </w:p>
        </w:tc>
        <w:tc>
          <w:tcPr>
            <w:tcW w:w="115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6CD5BE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0.8316</w:t>
            </w:r>
          </w:p>
        </w:tc>
      </w:tr>
    </w:tbl>
    <w:p ns2:paraId="6FE7AA23">
      <w:pPr>
        <w:spacing w:before="0" w:after="0" w:line="420" w:lineRule="auto"/>
        <w:ind w:firstLine="420"/>
        <w:jc w:val="both"/>
      </w:pPr>
      <w:r>
        <w:t>因此，第5.7节的公共管理意义并不在于证明某种模型已经构成新的制度能力，而在于说明在严格标签边界之下，项目级文本与结构变量可以为风险预警、分类监管和前端资源配置提供辅助支持。排序能力本身不等于治理能力，更不能被反向书写为对前文制度因果识别的强化。</w:t>
      </w:r>
    </w:p>
    <w:p ns2:paraId="7696C213">
      <w:pPr>
        <w:spacing w:before="60" w:after="60" w:line="360" w:lineRule="auto"/>
        <w:jc w:val="center"/>
      </w:pPr>
      <w:r>
        <w:drawing>
          <ns3:inline distT="0" distB="0" distL="0" distR="0">
            <ns3:extent cx="5577840" cy="3873500"/>
            <ns3:effectExtent l="0" t="0" r="0" b="0"/>
            <ns3:docPr id="10" name="image10.png"/>
            <ns3:cNvGraphicFramePr>
              <ns4:graphicFrameLocks noChangeAspect="1"/>
            </ns3:cNvGraphicFramePr>
            <ns4:graphic>
              <ns4:graphicData uri="http://schemas.openxmlformats.org/drawingml/2006/picture">
                <ns5:pic>
                  <ns5:nvPicPr>
                    <ns5:cNvPr id="10" name="image10.png"/>
                    <ns5:cNvPicPr>
                      <ns4:picLocks noChangeAspect="1"/>
                    </ns5:cNvPicPr>
                  </ns5:nvPicPr>
                  <ns5:blipFill>
                    <ns4:blip ns6:embed="rId13"/>
                    <ns4:stretch>
                      <ns4:fillRect/>
                    </ns4:stretch>
                  </ns5:blipFill>
                  <ns5:spPr>
                    <ns4:xfrm>
                      <ns4:off x="0" y="0"/>
                      <ns4:ext cx="5577840" cy="3873865"/>
                    </ns4:xfrm>
                    <ns4:prstGeom prst="rect">
                      <ns4:avLst/>
                    </ns4:prstGeom>
                  </ns5:spPr>
                </ns5:pic>
              </ns4:graphicData>
            </ns4:graphic>
          </ns3:inline>
        </w:drawing>
      </w:r>
    </w:p>
    <w:p ns2:paraId="61D39B81">
      <w:pPr>
        <w:spacing w:before="60" w:after="60" w:line="360" w:lineRule="auto"/>
        <w:jc w:val="center"/>
      </w:pPr>
      <w:r>
        <w:drawing>
          <ns3:inline distT="0" distB="0" distL="0" distR="0">
            <ns3:extent cx="5577840" cy="3873500"/>
            <ns3:effectExtent l="0" t="0" r="0" b="0"/>
            <ns3:docPr id="11" name="image11.png"/>
            <ns3:cNvGraphicFramePr>
              <ns4:graphicFrameLocks noChangeAspect="1"/>
            </ns3:cNvGraphicFramePr>
            <ns4:graphic>
              <ns4:graphicData uri="http://schemas.openxmlformats.org/drawingml/2006/picture">
                <ns5:pic>
                  <ns5:nvPicPr>
                    <ns5:cNvPr id="11" name="image11.png"/>
                    <ns5:cNvPicPr>
                      <ns4:picLocks noChangeAspect="1"/>
                    </ns5:cNvPicPr>
                  </ns5:nvPicPr>
                  <ns5:blipFill>
                    <ns4:blip ns6:embed="rId14"/>
                    <ns4:stretch>
                      <ns4:fillRect/>
                    </ns4:stretch>
                  </ns5:blipFill>
                  <ns5:spPr>
                    <ns4:xfrm>
                      <ns4:off x="0" y="0"/>
                      <ns4:ext cx="5577840" cy="3873865"/>
                    </ns4:xfrm>
                    <ns4:prstGeom prst="rect">
                      <ns4:avLst/>
                    </ns4:prstGeom>
                  </ns5:spPr>
                </ns5:pic>
              </ns4:graphicData>
            </ns4:graphic>
          </ns3:inline>
        </w:drawing>
      </w:r>
    </w:p>
    <w:p ns2:paraId="35793112">
      <w:pPr>
        <w:spacing w:before="160" w:after="60" w:line="420" w:lineRule="auto"/>
        <w:jc w:val="left"/>
      </w:pPr>
      <w:r>
        <w:t>6 结论与展望</w:t>
      </w:r>
    </w:p>
    <w:p ns2:paraId="1FDCC103">
      <w:pPr>
        <w:spacing w:before="0" w:after="0" w:line="420" w:lineRule="auto"/>
        <w:ind w:firstLine="420"/>
        <w:jc w:val="both"/>
      </w:pPr>
      <w:r>
        <w:t>本文围绕政务服务数字化改革与PPP治理之间的关系，构建了一条由政策文本量化、省级面板估计和项目级扩展分析相衔接的研究路径。与将数字化改革简单写成“全面提升治理质量”的宽泛叙述不同，本文更关注改革首先改变了PPP治理中的哪一类具体环节。基于正式口径的省级主面板和treat_share多期DID/TWFE框架，本文得到三个层次分明且边界清晰的结论。</w:t>
      </w:r>
    </w:p>
    <w:p ns2:paraId="064A25FE">
      <w:pPr>
        <w:spacing w:before="0" w:after="0" w:line="420" w:lineRule="auto"/>
        <w:ind w:firstLine="420"/>
        <w:jc w:val="both"/>
      </w:pPr>
      <w:r>
        <w:t>第一，在基准TWFE规格下，改革暴露强度较高的地区更可能出现PPP项目推进结构的相对重组。exec_share与treat_share呈显著正向关联，proc_share呈显著负向关联；执行/采购对数比率的补充估计也给出同向信号。这意味着当前最稳固的证据并不是所有治理质量指标同步跃升，而是采购/准备环节与执行环节之间的阶段份额发生重新配置。</w:t>
      </w:r>
    </w:p>
    <w:p>
      <w:r>
        <w:t xml:space="preserve">【v2e结论边界】因此，本文对数字化改革作用的解释应保持在“结构性改善”和“条件关联证据”的范围内。当前证据较稳定地支持 PPP 项目推进结构由采购阶段向执行阶段的相对重组，但尚不足以证明综合治理质量全面提升；事件研究只能提供动态路径与识别边界提示，而不是平行趋势已经完全成立的证明；A/B/C/D 文本维度提供的是制度表达和治理重心变化的线索，而不是来源独立的强机制识别。</w:t>
      </w:r>
    </w:p>
    <w:p ns2:paraId="1BAFC4DA">
      <w:pPr>
        <w:spacing w:before="0" w:after="0" w:line="420" w:lineRule="auto"/>
        <w:ind w:firstLine="420"/>
        <w:jc w:val="both"/>
      </w:pPr>
      <w:r>
        <w:t>第二，综合治理质量指标存在正向信号，但稳定性不足，不能承担全文主结论。无论在基准结果还是在补充检验中，ppp_quality_zindex都没有形成与推进结构结果同等稳固的统计支持。因此，本文只把这一结果理解为边际改善方向，而不把它提升为“治理质量全面提升”的强断言。与之相应，事件研究结果只能用于说明动态路径和识别边界；趋势调整型DID与wild cluster bootstrap则进一步表明，采购阶段占比下降的防守性支持强于执行阶段占比上升，主结果的推断强度仍需克制表述。</w:t>
      </w:r>
    </w:p>
    <w:p ns2:paraId="06450458">
      <w:pPr>
        <w:spacing w:before="0" w:after="0" w:line="420" w:lineRule="auto"/>
        <w:ind w:firstLine="420"/>
        <w:jc w:val="both"/>
      </w:pPr>
      <w:r>
        <w:t>第三，文本证据线索支持“接口优先、前端规范先行、部分机制成立”的判断，但不支持完整稳定的强中介链条。A维度所代表的数字治理接口与数据协同率先响应，前端规范和采购—执行治理维度存在局部传导，但严格中介检验并未成立。由于A/B/C/D维度与treat_share都来自政策文本工程，本轮将其统一降格为制度表达与治理重心重分布的证据线索，而不再把它写成独立的强机制识别。项目级扩展分析进一步表明，在严格避免标签泄漏的前提下，PPP项目的高低风险具有一定可识别性，但这一部分仅构成治理辅助识别，不参与主识别，也不替代制度治理。</w:t>
      </w:r>
    </w:p>
    <w:p ns2:paraId="7489B298">
      <w:pPr>
        <w:spacing w:before="0" w:after="0" w:line="420" w:lineRule="auto"/>
        <w:ind w:firstLine="420"/>
        <w:jc w:val="both"/>
      </w:pPr>
      <w:r>
        <w:t>趋势调整型DID与逐省剔除检验进一步说明，推进结构重组这一核心判断在方向上具有较强稳定性，其中采购阶段占比下降的防守性支撑更强，执行阶段占比上升则对趋势设定和样本扰动更为敏感；wild cluster bootstrap进一步提示，在有限聚类下两项主结果方向仍保留，但推断强度弱于标准聚类结果。也正因如此，本文不将当前结果解释为稳定、强因果的制度效应，而将其界定为过程性、方向性的条件关联证据。</w:t>
      </w:r>
    </w:p>
    <w:p ns2:paraId="2175E32E">
      <w:pPr>
        <w:spacing w:before="0" w:after="0" w:line="420" w:lineRule="auto"/>
        <w:ind w:firstLine="420"/>
        <w:jc w:val="both"/>
      </w:pPr>
      <w:r>
        <w:t>从学术层面看，本文的贡献可以概括为三点。其一，相较于将数字政府研究主要停留在一般行政效率、营商环境或企业行为结果上，本文把研究焦点进一步推进到PPP治理过程，强调数字化改革首先改造的是政府内部协同、制度接口和流程结构。其二，相较于将PPP研究主要理解为融资组织方式或财政安排，本文将项目推进结构重新界定为观察公共治理过程的窗口，从而把项目阶段转换纳入公共管理问题意识。其三，相较于把政策文本量化写成方法展示，本文将文本分析嵌入治理测度、变量工程和机制解释之中，强调文本方法在公共管理研究中的价值首先来自其能否服务于正式识别框架。</w:t>
      </w:r>
    </w:p>
    <w:p ns2:paraId="712FA685">
      <w:pPr>
        <w:spacing w:before="0" w:after="0" w:line="420" w:lineRule="auto"/>
        <w:ind w:firstLine="420"/>
        <w:jc w:val="both"/>
      </w:pPr>
      <w:r>
        <w:t>基于上述结果，本文的政策含义可以集中在四个方面。其一，数字政府建设在PPP领域的现实着力点，应更多放在跨部门协同、信息联通和程序接口重构上，而不是期待抽象质量指标的即时跃升。其二，前端规范准入、物有所值论证、财政承受能力审查和实施方案审批等环节，是数字化改革转化为推进结构改善的关键节点，应作为治理重心予以持续优化。其三，财政、发展改革、政务数据主管部门与行业主管部门之间，应围绕项目入库、采购启动、合同执行和信息披露建立共享校核接口，把“采购—执行转换效率”纳入过程性治理绩效，而不是只考核平台上线数量。其四，项目级模型识别可以作为高风险筛查和辅助预警工具，但其使用必须建立在标签与特征严格分离、预测与因果严格分离的原则之上。</w:t>
      </w:r>
    </w:p>
    <w:p ns2:paraId="5EEB491F">
      <w:pPr>
        <w:spacing w:before="0" w:after="0" w:line="420" w:lineRule="auto"/>
        <w:ind w:firstLine="420"/>
        <w:jc w:val="both"/>
      </w:pPr>
      <w:r>
        <w: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w:t>
      </w:r>
    </w:p>
    <w:p ns2:paraId="797A0FF9">
      <w:pPr>
        <w:spacing w:before="0" w:after="0" w:line="420" w:lineRule="auto"/>
        <w:ind w:firstLine="420"/>
        <w:jc w:val="both"/>
      </w:pPr>
      <w:r>
        <w: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继续保持标签边界清晰的前提下，引入更丰富的制度接口、信息披露、前端规范和跨部门协同变量，并更审慎地将项目级辅助识别工具与治理实践对接。</w:t>
      </w:r>
    </w:p>
    <w:p ns2:paraId="4943697C">
      <w:pPr>
        <w:spacing w:before="160" w:after="60" w:line="420" w:lineRule="auto"/>
        <w:jc w:val="left"/>
      </w:pPr>
      <w:r>
        <w:t>附录A 处理变量与样本流转补充说明</w:t>
      </w:r>
    </w:p>
    <w:p ns2:paraId="7EA9AC05">
      <w:pPr>
        <w:spacing w:before="0" w:after="0" w:line="420" w:lineRule="auto"/>
        <w:ind w:firstLine="420"/>
        <w:jc w:val="both"/>
      </w:pPr>
      <w:r>
        <w:t xml:space="preserve">本轮修订在正式V3主面板基础上补充提供了 province-year 层面的 treat_share 重构材料。当前处理变量口径的数学定义如下列公式编辑器对象所示；多数进入处理的省份首次处理年份为2016年，西藏为2017年；海南、青海和新疆生产建设兵团在当前口径下未进入处理。</w:t>
      </w:r>
    </w:p>
    <w:p>
      <w:pPr>
        <w:jc w:val="center"/>
      </w:pPr>
      <m:oMathPara>
        <m:oMath>
          <m:r>
            <m:t>postₜ = 1(t ≥ 2016)</m:t>
          </m:r>
        </m:oMath>
      </m:oMathPara>
    </w:p>
    <w:p>
      <w:pPr>
        <w:jc w:val="center"/>
      </w:pPr>
      <m:oMathPara>
        <m:oMath>
          <m:r>
            <m:t>treat_shareₚₜ = (1 / Nₚₜ) × Σᵢ treatᵢₚₜ</m:t>
          </m:r>
        </m:oMath>
      </m:oMathPara>
    </w:p>
    <w:p>
      <w:pPr>
        <w:jc w:val="center"/>
      </w:pPr>
      <m:oMathPara>
        <m:oMath>
          <m:r>
            <m:t>did_intensityₚₜ = postₜ × treat_shareₚₜ</m:t>
          </m:r>
        </m:oMath>
      </m:oMathPara>
    </w:p>
    <w:p>
      <w:pPr>
        <w:jc w:val="center"/>
      </w:pPr>
      <m:oMathPara>
        <m:oMath>
          <m:r>
            <m:t>did_anyₚₜ = 1(did_intensityₚₜ &gt; 0)</m:t>
          </m:r>
        </m:oMath>
      </m:oMathPara>
    </w:p>
    <w:p>
      <w:r>
        <w:t xml:space="preserve">【v2e附录A0/A1说明】v2e 新增的 province-year treat_share audit 与 implied city-slot registry 已放入 v2e 执行包目录。前者用于审计 treat_share、treated_city_count_implied、did_intensity 与省年样本口径是否一致；后者仅用于在没有真实城市名单时进行聚合链条回算和脚本接口测试。两类文件都不能替代原始城市名单、处理阈值底表或正式 source-of-truth 工作簿。若后续找到真实城市名单或权重底表，应以真实 registry 重建，并保留本次 implied registry 作为审计留痕。</w:t>
      </w:r>
    </w:p>
    <w:p ns2:paraId="7EA9AC05">
      <w:pPr>
        <w:spacing w:before="0" w:after="0" w:line="420" w:lineRule="auto"/>
        <w:ind w:firstLine="420"/>
        <w:jc w:val="both"/>
      </w:pPr>
      <w:r>
        <w:t>正式V3主面板共有266个省—年观察值，其中262个进入第5.3节正式估计样本，另外4个新疆生产建设兵团观测因基准控制变量不完整而被排除。本轮交付随附appendix_A_treat_share_reconstruction_20260418.csv、appendix_A_province_treatment_timing_20260418.csv、appendix_A_sample_exclusions_20260418.csv和appendix_A_treat_share_definition_tables_20260418.md，分别报告province-year层面的treat_share重构结果、省份首次处理时点、删样清单和处理变量定义表。由于当前仓库未显式保存城市级处理名单与原始阈值底表，本文只能将这些材料界定为省级重构意义上的复核资产，而不将其写成完整城市级复现包。</w:t>
      </w:r>
    </w:p>
    <w:p ns2:paraId="4943697C">
      <w:pPr>
        <w:spacing w:before="160" w:after="60" w:line="420" w:lineRule="auto"/>
        <w:jc w:val="left"/>
      </w:pPr>
      <w:r>
        <w:t>附录B 对数比率补充估计说明</w:t>
      </w:r>
    </w:p>
    <w:p ns2:paraId="7EA9AC05">
      <w:pPr>
        <w:spacing w:before="0" w:after="0" w:line="420" w:lineRule="auto"/>
        <w:ind w:firstLine="420"/>
        <w:jc w:val="both"/>
      </w:pPr>
      <w:r>
        <w:t xml:space="preserve">为回应份额型结果变量的构成性约束，本轮修订在正式估计样本上新增报告执行/采购对数比率指标。该指标的数学形式如下列公式编辑器对象所示。基准补充估计以执行阶段与采购阶段最小正份额的一半作为连续性修正；相关结果只构成份额型结果处理下的构成性补强。</w:t>
      </w:r>
    </w:p>
    <w:p>
      <w:pPr>
        <w:jc w:val="center"/>
      </w:pPr>
      <m:oMathPara>
        <m:oMath>
          <m:r>
            <m:t>log_ratioₚₜ = log((exec_shareₚₜ + c) / (proc_shareₚₜ + c))</m:t>
          </m:r>
        </m:oMath>
      </m:oMathPara>
    </w:p>
    <w:p ns2:paraId="7EA9AC05">
      <w:pPr>
        <w:spacing w:before="0" w:after="0" w:line="420" w:lineRule="auto"/>
        <w:ind w:firstLine="420"/>
        <w:jc w:val="both"/>
      </w:pPr>
      <w:r>
        <w:t>这组结果的作用在于为主文中的结构重组判断提供构成性补强，而不是替代treat_share多期DID/TWFE作为唯一主识别。对应的fresh re-estimate结果已随本轮交付材料写入appendix_B_log_ratio_reestimate_20260418.csv和appendix_B_log_ratio_note_20260418.md，供匿名评审和后续人工复核使用。</w:t>
      </w:r>
    </w:p>
    <w:p ns2:paraId="4943697C">
      <w:pPr>
        <w:spacing w:before="160" w:after="60" w:line="420" w:lineRule="auto"/>
        <w:jc w:val="left"/>
      </w:pPr>
      <w:r>
        <w:t>附录C 文本池与样本流转一致性说明</w:t>
      </w:r>
    </w:p>
    <w:p ns2:paraId="7EA9AC05">
      <w:pPr>
        <w:spacing w:before="0" w:after="0" w:line="420" w:lineRule="auto"/>
        <w:ind w:firstLine="420"/>
        <w:jc w:val="both"/>
      </w:pPr>
      <w:r>
        <w:t>本轮统一采用以下样本流转口径：1472份政策文本全文池，经正式筛选形成1307份DID文本文档样本，进一步聚合为288个省—年文本单元，再与正式V3主面板对接形成266个省—年观测值，其中262个进入主回归样本，另有10000个项目级扩展观察值用于第5.7节。对应的流转表已写入appendix_C_sample_flow_0419_1528.csv。</w:t>
      </w:r>
    </w:p>
    <w:p ns2:paraId="7EA9AC05">
      <w:pPr>
        <w:spacing w:before="0" w:after="0" w:line="420" w:lineRule="auto"/>
        <w:ind w:firstLine="420"/>
        <w:jc w:val="both"/>
      </w:pPr>
      <w:r>
        <w:t>审稿报告指出旧附表链条中曾出现“全量政策文本池165”的表述。基于当前仓库可核实的正式源文件，本轮未发现可以支持“165 = 全量文本池”这一manuscript-facing口径的现行资产，因此v2d不采纳该写法，而统一维持1472→1307→288→266→262的正式链条。如果后续确有独立的扩展审计文本窗口，应以不同名称单列，而不能与全文政策文本池混用。</w:t>
      </w:r>
    </w:p>
    <w:p ns2:paraId="4943697C">
      <w:pPr>
        <w:spacing w:before="160" w:after="60" w:line="420" w:lineRule="auto"/>
        <w:jc w:val="left"/>
      </w:pPr>
      <w:r>
        <w:t>附录D 主识别防守结果摘要</w:t>
      </w:r>
    </w:p>
    <w:p ns2:paraId="7EA9AC05">
      <w:pPr>
        <w:spacing w:before="0" w:after="0" w:line="420" w:lineRule="auto"/>
        <w:ind w:firstLine="420"/>
        <w:jc w:val="both"/>
      </w:pPr>
      <w:r>
        <w:t>主识别防守结果可概括为三点。第一，trend-adjusted DID下，exec_share的系数为0.2263（p = 0.1945），proc_share的系数为-0.3521（p = 0.0485），ppp_quality_zindex的系数为-0.1699（p = 0.6780）；这说明采购阶段占比下降的防守性支撑强于执行阶段占比上升。第二，wild cluster bootstrap下，exec_share、proc_share和ppp_quality_zindex的p值分别为0.0761、0.1221和0.2372，方向判断保留，但更保守推断下的统计强度明显减弱。第三，逐省剔除结果未出现核心系数符号翻转，但强度对样本扰动仍有敏感性。对应汇总表已写入appendix_D_defensive_inference_summary_0419_1528.csv。</w:t>
      </w:r>
    </w:p>
    <w:p ns2:paraId="4943697C">
      <w:pPr>
        <w:spacing w:before="160" w:after="60" w:line="420" w:lineRule="auto"/>
        <w:jc w:val="left"/>
      </w:pPr>
      <w:r>
        <w:t>附录E 处理变量与文本证据线索的来源边界</w:t>
      </w:r>
    </w:p>
    <w:p ns2:paraId="7EA9AC05">
      <w:pPr>
        <w:spacing w:before="0" w:after="0" w:line="420" w:lineRule="auto"/>
        <w:ind w:firstLine="420"/>
        <w:jc w:val="both"/>
      </w:pPr>
      <w:r>
        <w:t>treat_share由城市处理状态聚合到省—年层面，A/B/C/D维度则来自政策文本工程后的省—年聚合指标。两类变量都以政策文本体系为基础，因此它们之间的相关性不能被直接写成彼此独立的“机制识别”。本轮据此将第5.4节统一改写为“政策文本证据线索与阶段性传导”，其作用是说明制度表达和治理重心如何随改革推进而调整，而不是证明一条与主识别并列、来源完全独立的强机制链条。更详细的来源边界说明已写入appendix_E_source_boundary_0419_1528.md。</w:t>
      </w:r>
    </w:p>
    <w:p ns2:paraId="4943697C">
      <w:pPr>
        <w:spacing w:before="160" w:after="60" w:line="420" w:lineRule="auto"/>
        <w:jc w:val="left"/>
      </w:pPr>
      <w:r>
        <w:t>研究透明度与复现说明</w:t>
      </w:r>
    </w:p>
    <w:p>
      <w:r>
        <w:t xml:space="preserve">【v2e公式排版规则】自 v2e 起，Word 正式稿中新增或改写的数学公式均使用 Word 公式编辑器/Office Math 对象排版；Markdown 文件仅作为 Git 可审查留底，不作为正式公式排版来源。若后续继续生成 v2f 及以后版本，涉及主模型、变量定义、log-ratio 或其他数学表达时，应优先在 docx 中保留公式编辑器对象。</w:t>
      </w:r>
    </w:p>
    <w:p ns2:paraId="7EA9AC05">
      <w:pPr>
        <w:spacing w:before="0" w:after="0" w:line="420" w:lineRule="auto"/>
        <w:ind w:firstLine="420"/>
        <w:jc w:val="both"/>
      </w:pPr>
      <w:r>
        <w:t>本文使用的政策文本、PPP项目资料以及省级统计/行政数据均来自公开政策文件、正式数据库和可复核的省级公开资料。受原始平台抓取规则、版权限制和整理流程约束，原始底库不随本文同步公开；在不违反平台规则的前提下，作者可提供经清洗后的省级主面板、核心变量说明、文本维度映射表和表图复核清单，以供匿名评审和后续复核使用。</w:t>
      </w:r>
    </w:p>
    <w:p ns2:paraId="7EA9AC05">
      <w:pPr>
        <w:spacing w:before="0" w:after="0" w:line="420" w:lineRule="auto"/>
        <w:ind w:firstLine="420"/>
        <w:jc w:val="both"/>
      </w:pPr>
      <w:r>
        <w:t>本文的主要复现材料包括文本变量构造说明、主面板变量字典、基准DID/TWFE回归脚本、DID防守性补强脚本以及结果汇总表。考虑到部分原始数据存在平台访问限制，代码和派生数据将在匿名评审结束后按期刊政策和合理申请原则提供。</w:t>
      </w:r>
    </w:p>
    <w:p ns2:paraId="7EA9AC05">
      <w:pPr>
        <w:spacing w:before="0" w:after="0" w:line="420" w:lineRule="auto"/>
        <w:ind w:firstLine="420"/>
        <w:jc w:val="both"/>
      </w:pPr>
      <w:r>
        <w:t>本研究不涉及对人类受试者的干预性实验，也不处理可识别的个人隐私数据，因而不属于需要单独伦理审批的研究类型。本文在文稿结构整理、语言润饰和一致性核对环节使用了生成式人工智能工具辅助，但研究设计、数据构建、实证估计、结果复核与全部学术责任均由作者承担。</w:t>
      </w:r>
    </w:p>
    <w:p ns2:paraId="70B9E2B8">
      <w:pPr>
        <w:spacing w:before="160" w:after="60" w:line="420" w:lineRule="auto"/>
        <w:jc w:val="left"/>
      </w:pPr>
      <w:r>
        <w:t>参考文献</w:t>
      </w:r>
    </w:p>
    <w:p ns2:paraId="3AD017C0">
      <w:pPr>
        <w:spacing w:before="0" w:after="0" w:line="420" w:lineRule="auto"/>
        <w:ind w:firstLine="420"/>
        <w:jc w:val="both"/>
      </w:pPr>
      <w:r>
        <w:t>1. 孙慧, 梁英子, 袁婷婷, 王轶涵. 2024. PPP政策内容分析及其市场影响. 系统工程学报.</w:t>
      </w:r>
    </w:p>
    <w:p ns2:paraId="3B8F875F">
      <w:pPr>
        <w:spacing w:before="0" w:after="0" w:line="420" w:lineRule="auto"/>
        <w:ind w:firstLine="420"/>
        <w:jc w:val="both"/>
      </w:pPr>
      <w:r>
        <w:t>2. 汪峰, 范明明, 张牧扬, 崔杰. 2025. 经济增长目标引领与项目推进：基于中国PPP项目进程的分析. 世界经济.</w:t>
      </w:r>
    </w:p>
    <w:p ns2:paraId="2700D4A2">
      <w:pPr>
        <w:spacing w:before="0" w:after="0" w:line="420" w:lineRule="auto"/>
        <w:ind w:firstLine="420"/>
        <w:jc w:val="both"/>
      </w:pPr>
      <w:r>
        <w:t>3. 王渊, 李牧南, 梁彦希. 2025. 政策取向一致性与企业高质量绿色转型. 管理世界.</w:t>
      </w:r>
    </w:p>
    <w:p ns2:paraId="43EAED88">
      <w:pPr>
        <w:spacing w:before="0" w:after="0" w:line="420" w:lineRule="auto"/>
        <w:ind w:firstLine="420"/>
        <w:jc w:val="both"/>
      </w:pPr>
      <w:r>
        <w:t>4. 廖燕珠, 莫桂芳. 2025. 变与稳：危机事件触发政策系统的差异化调适——基于机器学习的省级环境政策文本分析. 公共管理与政策评论.</w:t>
      </w:r>
    </w:p>
    <w:p ns2:paraId="20D22E42">
      <w:pPr>
        <w:spacing w:before="0" w:after="0" w:line="420" w:lineRule="auto"/>
        <w:ind w:firstLine="420"/>
        <w:jc w:val="both"/>
      </w:pPr>
      <w:r>
        <w:t>5. 肖永慧. 2025. 大数据综合试验区提升企业数据资产化的机制——基于多期DID模型的实证分析. 中国流通经济, (12): 105-122. DOI: 10.14089/j.cnki.cn11-3664/f.2025.12.008.</w:t>
      </w:r>
    </w:p>
    <w:p ns2:paraId="33578262">
      <w:pPr>
        <w:spacing w:before="0" w:after="0" w:line="420" w:lineRule="auto"/>
        <w:ind w:firstLine="420"/>
        <w:jc w:val="both"/>
      </w:pPr>
      <w:r>
        <w:t>6. 范柏乃, 盛中华. 2024. 数字风险治理：研究脉络、理论框架及未来展望. 管理世界.</w:t>
      </w:r>
    </w:p>
    <w:p ns2:paraId="64DCA31D">
      <w:pPr>
        <w:spacing w:before="0" w:after="0" w:line="420" w:lineRule="auto"/>
        <w:ind w:firstLine="420"/>
        <w:jc w:val="both"/>
      </w:pPr>
      <w:r>
        <w:t>7. 王蓝蓝, 刘艳丽. 2024. 基于BERTopic的计算机视觉领域热点技术主题及演化分析. 科学观察, 19(2). DOI: 10.15978/j.cnki.1673-5668.202402005.</w:t>
      </w:r>
    </w:p>
    <w:p ns2:paraId="7DD5A20F">
      <w:pPr>
        <w:spacing w:before="0" w:after="0" w:line="420" w:lineRule="auto"/>
        <w:ind w:firstLine="420"/>
        <w:jc w:val="both"/>
      </w:pPr>
      <w:r>
        <w:t>8. 曹玲静, 张志强. 2022. 政策信息学视角下政策文本量化方法研究进展. DOI: 10.11968/tsyqb.1003-6938.2022087.</w:t>
      </w:r>
    </w:p>
    <w:p ns2:paraId="13672D30">
      <w:pPr>
        <w:spacing w:before="0" w:after="0" w:line="420" w:lineRule="auto"/>
        <w:ind w:firstLine="420"/>
        <w:jc w:val="both"/>
      </w:pPr>
      <w:r>
        <w:t>9. 边江泽, 余湄, 秦淇林. 2025. 注册制改革、信息披露与投资者行为——基于创业板定向增发的证据. 管理世界.</w:t>
      </w:r>
    </w:p>
    <w:p ns2:paraId="291DE98B">
      <w:pPr>
        <w:spacing w:before="0" w:after="0" w:line="420" w:lineRule="auto"/>
        <w:ind w:firstLine="420"/>
        <w:jc w:val="both"/>
      </w:pPr>
      <w:r>
        <w:t>10. 刘敏, 张露祥, 平卫英, 黄斐. 2025. 基于大语言模型的多阶段网络舆情驱动群体共识决策方法研究. 管理学报.</w:t>
      </w:r>
    </w:p>
    <w:p ns2:paraId="759EF7BB">
      <w:pPr>
        <w:spacing w:before="0" w:after="0" w:line="420" w:lineRule="auto"/>
        <w:ind w:firstLine="420"/>
        <w:jc w:val="both"/>
      </w:pPr>
      <w:r>
        <w:t>11. 范小云, 王业东, 王道平, 郭文璇, 胡煊翊. 2022. 不同来源金融文本信息含量的异质性分析——基于混合式文本情绪测度方法. 管理世界.</w:t>
      </w:r>
    </w:p>
    <w:p ns2:paraId="3CEA9451">
      <w:pPr>
        <w:spacing w:before="0" w:after="0" w:line="420" w:lineRule="auto"/>
        <w:ind w:firstLine="420"/>
        <w:jc w:val="both"/>
      </w:pPr>
      <w:r>
        <w:t>12. 李牧南, 王亮, 赖华鹏. 2024. 基于深度学习的我国科技政策属性识别. 科研管理, 45(2). DOI: 10.19571/j.cnki.1000-2995.2024.02.001.</w:t>
      </w:r>
    </w:p>
    <w:p ns2:paraId="08FB622C">
      <w:pPr>
        <w:spacing w:before="0" w:after="0" w:line="420" w:lineRule="auto"/>
        <w:ind w:firstLine="420"/>
        <w:jc w:val="both"/>
      </w:pPr>
      <w:r>
        <w:t>13. Saito, T., &amp; Rehmsmeier, M. 2015. The precision-recall plot is more informative than the ROC plot when evaluating binary classifiers on imbalanced datasets. PLOS ONE, 10(3): e0118432.</w:t>
      </w:r>
    </w:p>
    <w:p ns2:paraId="43020247">
      <w:pPr>
        <w:spacing w:before="0" w:after="0" w:line="420" w:lineRule="auto"/>
        <w:ind w:firstLine="420"/>
        <w:jc w:val="both"/>
      </w:pPr>
      <w:r>
        <w:t>14. Sun, L., &amp; Abraham, S. 2021. Estimating dynamic treatment effects in event studies with heterogeneous treatment effects. Journal of Econometrics, 225(2): 175-199.</w:t>
      </w:r>
    </w:p>
    <w:sectPr>
      <w:pgSz w:w="11906" w:h="16838"/>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compat>
    <w:useFELayout/>
    <w:splitPgBreakAndParaMark/>
    <w:compatSetting w:name="compatibilityMode" w:uri="http://schemas.microsoft.com/office/word" w:val="12"/>
  </w:compat>
  <w:rsids>
    <w:rsidRoot w:val="00000000"/>
    <w:rsid w:val="00C91C98"/>
    <w:rsid w:val="12F46456"/>
    <w:rsid w:val="1BCD6533"/>
    <w:rsid w:val="1C890801"/>
    <w:rsid w:val="2927562A"/>
    <w:rsid w:val="33A37FA3"/>
    <w:rsid w:val="3F6F7935"/>
    <w:rsid w:val="4A0D3F70"/>
    <w:rsid w:val="5C250D3B"/>
    <w:rsid w:val="674F751F"/>
    <w:rsid w:val="72624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10279</Words>
  <Characters>11329</Characters>
  <TotalTime>8</TotalTime>
  <ScaleCrop>false</ScaleCrop>
  <LinksUpToDate>false</LinksUpToDate>
  <CharactersWithSpaces>11348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2026-04-17T16:12:57Z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