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6"/>
          <w:rFonts w:eastAsia="黑体"/>
        </w:rPr>
        <w:t>v2c 修改版内容复核与管理学顶刊标准审查报告</w:t>
      </w:r>
    </w:p>
    <w:p>
      <w:pPr>
        <w:jc w:val="center"/>
      </w:pPr>
      <w:r>
        <w:rPr>
          <w:i/>
          <w:sz w:val="21"/>
          <w:rFonts w:eastAsia="宋体"/>
        </w:rPr>
        <w:t>不含格式审查；重点复核内容、理论、方法、数据、结果解释与投稿潜力</w:t>
      </w:r>
    </w:p>
    <w:tbl>
      <w:tblPr>
        <w:tblStyle w:val="TableGrid"/>
        <w:tblW w:type="auto" w:w="0"/>
        <w:jc w:val="center"/>
        <w:tblLook w:firstColumn="1" w:firstRow="1" w:lastColumn="0" w:lastRow="0" w:noHBand="0" w:noVBand="1" w:val="04A0"/>
      </w:tblPr>
      <w:tblGrid>
        <w:gridCol w:w="5083"/>
        <w:gridCol w:w="5083"/>
      </w:tblGrid>
      <w:tr>
        <w:tc>
          <w:tcPr>
            <w:tcW w:type="dxa" w:w="2016"/>
            <w:vAlign w:val="center"/>
            <w:tcMar>
              <w:top w:w="120" w:type="dxa"/>
              <w:start w:w="120" w:type="dxa"/>
              <w:bottom w:w="120" w:type="dxa"/>
              <w:end w:w="120" w:type="dxa"/>
            </w:tcMar>
            <w:shd w:fill="1F4E79"/>
          </w:tcPr>
          <w:p>
            <w:pPr>
              <w:spacing w:after="40" w:line="276" w:lineRule="auto"/>
              <w:jc w:val="center"/>
            </w:pPr>
            <w:r/>
            <w:r>
              <w:rPr>
                <w:b/>
                <w:color w:val="FFFFFF"/>
                <w:sz w:val="18"/>
                <w:rFonts w:eastAsia="宋体"/>
              </w:rPr>
              <w:t>项目</w:t>
            </w:r>
          </w:p>
        </w:tc>
        <w:tc>
          <w:tcPr>
            <w:tcW w:type="dxa" w:w="8208"/>
            <w:vAlign w:val="center"/>
            <w:tcMar>
              <w:top w:w="120" w:type="dxa"/>
              <w:start w:w="120" w:type="dxa"/>
              <w:bottom w:w="120" w:type="dxa"/>
              <w:end w:w="120" w:type="dxa"/>
            </w:tcMar>
            <w:shd w:fill="1F4E79"/>
          </w:tcPr>
          <w:p>
            <w:pPr>
              <w:spacing w:after="40" w:line="276" w:lineRule="auto"/>
              <w:jc w:val="center"/>
            </w:pPr>
            <w:r/>
            <w:r>
              <w:rPr>
                <w:b/>
                <w:color w:val="FFFFFF"/>
                <w:sz w:val="18"/>
                <w:rFonts w:eastAsia="宋体"/>
              </w:rPr>
              <w:t>说明</w:t>
            </w:r>
          </w:p>
        </w:tc>
      </w:tr>
      <w:tr>
        <w:tc>
          <w:tcPr>
            <w:tcW w:type="dxa" w:w="2016"/>
            <w:vAlign w:val="center"/>
            <w:tcMar>
              <w:top w:w="120" w:type="dxa"/>
              <w:start w:w="120" w:type="dxa"/>
              <w:bottom w:w="120" w:type="dxa"/>
              <w:end w:w="120" w:type="dxa"/>
            </w:tcMar>
            <w:shd w:fill="D9EAF7"/>
          </w:tcPr>
          <w:p>
            <w:pPr>
              <w:spacing w:after="40" w:line="276" w:lineRule="auto"/>
              <w:jc w:val="center"/>
            </w:pPr>
            <w:r/>
            <w:r>
              <w:rPr>
                <w:b w:val="0"/>
                <w:sz w:val="18"/>
                <w:rFonts w:eastAsia="宋体"/>
              </w:rPr>
              <w:t>审查对象</w:t>
            </w:r>
          </w:p>
        </w:tc>
        <w:tc>
          <w:tcPr>
            <w:tcW w:type="dxa" w:w="8208"/>
            <w:vAlign w:val="center"/>
            <w:tcMar>
              <w:top w:w="120" w:type="dxa"/>
              <w:start w:w="120" w:type="dxa"/>
              <w:bottom w:w="120" w:type="dxa"/>
              <w:end w:w="120" w:type="dxa"/>
            </w:tcMar>
          </w:tcPr>
          <w:p>
            <w:pPr>
              <w:spacing w:after="40" w:line="276" w:lineRule="auto"/>
              <w:jc w:val="left"/>
            </w:pPr>
            <w:r/>
            <w:r>
              <w:rPr>
                <w:b w:val="0"/>
                <w:sz w:val="18"/>
                <w:rFonts w:eastAsia="宋体"/>
              </w:rPr>
              <w:t>v2c.zip：revised_paper_v2c.docx、revision_checklist_v2c.md、log_ratio_robustness_v2c.csv</w:t>
            </w:r>
          </w:p>
        </w:tc>
      </w:tr>
      <w:tr>
        <w:tc>
          <w:tcPr>
            <w:tcW w:type="dxa" w:w="2016"/>
            <w:vAlign w:val="center"/>
            <w:tcMar>
              <w:top w:w="120" w:type="dxa"/>
              <w:start w:w="120" w:type="dxa"/>
              <w:bottom w:w="120" w:type="dxa"/>
              <w:end w:w="120" w:type="dxa"/>
            </w:tcMar>
            <w:shd w:fill="D9EAF7"/>
          </w:tcPr>
          <w:p>
            <w:pPr>
              <w:spacing w:after="40" w:line="276" w:lineRule="auto"/>
              <w:jc w:val="center"/>
            </w:pPr>
            <w:r/>
            <w:r>
              <w:rPr>
                <w:b w:val="0"/>
                <w:sz w:val="18"/>
                <w:rFonts w:eastAsia="宋体"/>
              </w:rPr>
              <w:t>审查目标</w:t>
            </w:r>
          </w:p>
        </w:tc>
        <w:tc>
          <w:tcPr>
            <w:tcW w:type="dxa" w:w="8208"/>
            <w:vAlign w:val="center"/>
            <w:tcMar>
              <w:top w:w="120" w:type="dxa"/>
              <w:start w:w="120" w:type="dxa"/>
              <w:bottom w:w="120" w:type="dxa"/>
              <w:end w:w="120" w:type="dxa"/>
            </w:tcMar>
          </w:tcPr>
          <w:p>
            <w:pPr>
              <w:spacing w:after="40" w:line="276" w:lineRule="auto"/>
              <w:jc w:val="left"/>
            </w:pPr>
            <w:r/>
            <w:r>
              <w:rPr>
                <w:b w:val="0"/>
                <w:sz w:val="18"/>
                <w:rFonts w:eastAsia="宋体"/>
              </w:rPr>
              <w:t>判断 v2c 是否解决此前问题，并按中文管理学顶刊标准评估是否达标</w:t>
            </w:r>
          </w:p>
        </w:tc>
      </w:tr>
      <w:tr>
        <w:tc>
          <w:tcPr>
            <w:tcW w:type="dxa" w:w="2016"/>
            <w:vAlign w:val="center"/>
            <w:tcMar>
              <w:top w:w="120" w:type="dxa"/>
              <w:start w:w="120" w:type="dxa"/>
              <w:bottom w:w="120" w:type="dxa"/>
              <w:end w:w="120" w:type="dxa"/>
            </w:tcMar>
            <w:shd w:fill="D9EAF7"/>
          </w:tcPr>
          <w:p>
            <w:pPr>
              <w:spacing w:after="40" w:line="276" w:lineRule="auto"/>
              <w:jc w:val="center"/>
            </w:pPr>
            <w:r/>
            <w:r>
              <w:rPr>
                <w:b w:val="0"/>
                <w:sz w:val="18"/>
                <w:rFonts w:eastAsia="宋体"/>
              </w:rPr>
              <w:t>审查结论</w:t>
            </w:r>
          </w:p>
        </w:tc>
        <w:tc>
          <w:tcPr>
            <w:tcW w:type="dxa" w:w="8208"/>
            <w:vAlign w:val="center"/>
            <w:tcMar>
              <w:top w:w="120" w:type="dxa"/>
              <w:start w:w="120" w:type="dxa"/>
              <w:bottom w:w="120" w:type="dxa"/>
              <w:end w:w="120" w:type="dxa"/>
            </w:tcMar>
          </w:tcPr>
          <w:p>
            <w:pPr>
              <w:spacing w:after="40" w:line="276" w:lineRule="auto"/>
              <w:jc w:val="left"/>
            </w:pPr>
            <w:r/>
            <w:r>
              <w:rPr>
                <w:b w:val="0"/>
                <w:sz w:val="18"/>
                <w:rFonts w:eastAsia="宋体"/>
              </w:rPr>
              <w:t>v2c 明显优于 v2b，但尚未达到管理学顶刊可直接投稿状态；当前更接近“较好/大修后再审”</w:t>
            </w:r>
          </w:p>
        </w:tc>
      </w:tr>
    </w:tbl>
    <w:p/>
    <w:p>
      <w:pPr>
        <w:pStyle w:val="Heading1"/>
      </w:pPr>
      <w:r>
        <w:t>一、总体判断</w:t>
      </w:r>
    </w:p>
    <w:p>
      <w:pPr>
        <w:spacing w:after="100" w:line="283" w:lineRule="auto"/>
      </w:pPr>
      <w:r>
        <w:rPr>
          <w:rFonts w:eastAsia="宋体"/>
        </w:rPr>
        <w:t>v2c 已经实质性解决了一批“叙事过强、标题过大、假设不可检验、份额变量解释不当、内部工作流语言残留、项目级机器学习扩展抢主线”等问题。最明显的进步包括：题目由“优化”降为“结构重组”，副标题明确为“条件关联证据”；摘要主动交代趋势调整与 wild bootstrap 后统计强度下降；H1 改成相对份额重组命题；H2b 改成机制关联命题；新增 log-ratio 稳健性检验；treat_share 公式化说明有所增强；机制变量同源性风险增加了相关系数与 VIF 诊断。</w:t>
      </w:r>
    </w:p>
    <w:p>
      <w:pPr>
        <w:spacing w:after="100" w:line="283" w:lineRule="auto"/>
      </w:pPr>
      <w:r>
        <w:rPr>
          <w:rFonts w:eastAsia="宋体"/>
        </w:rPr>
        <w:t>但从《管理世界》《公共管理学报》等中文管理学顶刊标准看，v2c 仍未达标。关键原因不是语言和题目，而是识别强度与模型适配性仍不足：主模型仍以连续 treat_share 的 TWFE 为核心；处理时点高度集中；事件研究存在处理前显著项和处理后反向波动；wild bootstrap 与趋势调整削弱了主结果统计强度；份额型因变量虽然补了 log-ratio，但尚未形成完整 compositional/fractional 建模体系；机制证据仍偏“相关解释”，不足以支撑强机制链条。</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审查项</w:t>
            </w:r>
          </w:p>
        </w:tc>
        <w:tc>
          <w:tcPr>
            <w:tcW w:type="dxa" w:w="1440"/>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当前判断</w:t>
            </w:r>
          </w:p>
        </w:tc>
        <w:tc>
          <w:tcPr>
            <w:tcW w:type="dxa" w:w="3744"/>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理由</w:t>
            </w:r>
          </w:p>
        </w:tc>
        <w:tc>
          <w:tcPr>
            <w:tcW w:type="dxa" w:w="3744"/>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下一步处理</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主题与题目</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明显改善</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已收束为“结构重组/条件关联证据”，基本解决题目大于证据的问题。</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保留“重组”口径，避免回到“优化/提升/治理质量全面改善”。</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摘要</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部分解决</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已交代统计强度下降，但仍可进一步压缩基准显著的中心位置。</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摘要中明确写“方向一致但稳健性有限”，避免读者误以为主结果稳健。</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理论假设</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明显改善</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H1、H2b 更可检验，但机制理论锚点仍偏弱。</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用“制度接口-前端规范-阶段份额重组”作为唯一理论主线。</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识别策略</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未根本解决</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TWFE 连续处理、时点集中、对照组少等硬伤仍在。</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二选一：重估更强识别；或全文降格为条件关联研究。</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份额型因变量</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部分解决</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log-ratio 是有效补丁，但不是完整构成数据处理。</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主结果改以 log-ratio 或 compositional 指标为主，exec/proc 分别作为解释性补充。</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机制检验</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部分解决</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同源性诊断改善，但机制仍不能写成强中介。</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明确“机制关联证据”，补完整回归表与变量去重规则。</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结果解释</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部分解决</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语气较克制，但基准显著仍居中心。</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按“基准-防守-边界”重排结果叙事。</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ML扩展</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基本解决</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已降为扩展命题，但仍建议进一步后置。</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正文保留一段和一张核心表，其余移附录。</w:t>
            </w:r>
          </w:p>
        </w:tc>
      </w:tr>
      <w:tr>
        <w:tc>
          <w:tcPr>
            <w:tcW w:type="dxa" w:w="1800"/>
            <w:vAlign w:val="center"/>
            <w:tcMar>
              <w:top w:w="120" w:type="dxa"/>
              <w:start w:w="120" w:type="dxa"/>
              <w:bottom w:w="120" w:type="dxa"/>
              <w:end w:w="120" w:type="dxa"/>
            </w:tcMar>
            <w:shd w:fill="D9EAF7"/>
          </w:tcPr>
          <w:p>
            <w:pPr>
              <w:spacing w:after="40" w:line="276" w:lineRule="auto"/>
              <w:jc w:val="center"/>
            </w:pPr>
            <w:r/>
            <w:r>
              <w:rPr>
                <w:b w:val="0"/>
                <w:sz w:val="16"/>
                <w:rFonts w:eastAsia="宋体"/>
              </w:rPr>
              <w:t>顶刊达标性</w:t>
            </w:r>
          </w:p>
        </w:tc>
        <w:tc>
          <w:tcPr>
            <w:tcW w:type="dxa" w:w="1440"/>
            <w:vAlign w:val="center"/>
            <w:tcMar>
              <w:top w:w="120" w:type="dxa"/>
              <w:start w:w="120" w:type="dxa"/>
              <w:bottom w:w="120" w:type="dxa"/>
              <w:end w:w="120" w:type="dxa"/>
            </w:tcMar>
          </w:tcPr>
          <w:p>
            <w:pPr>
              <w:spacing w:after="40" w:line="276" w:lineRule="auto"/>
              <w:jc w:val="center"/>
            </w:pPr>
            <w:r/>
            <w:r>
              <w:rPr>
                <w:b w:val="0"/>
                <w:sz w:val="16"/>
                <w:rFonts w:eastAsia="宋体"/>
              </w:rPr>
              <w:t>未达标</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研究问题有价值，但识别与证据防守不足。</w:t>
            </w:r>
          </w:p>
        </w:tc>
        <w:tc>
          <w:tcPr>
            <w:tcW w:type="dxa" w:w="3744"/>
            <w:vAlign w:val="center"/>
            <w:tcMar>
              <w:top w:w="120" w:type="dxa"/>
              <w:start w:w="120" w:type="dxa"/>
              <w:bottom w:w="120" w:type="dxa"/>
              <w:end w:w="120" w:type="dxa"/>
            </w:tcMar>
          </w:tcPr>
          <w:p>
            <w:pPr>
              <w:spacing w:after="40" w:line="276" w:lineRule="auto"/>
              <w:jc w:val="left"/>
            </w:pPr>
            <w:r/>
            <w:r>
              <w:rPr>
                <w:b w:val="0"/>
                <w:sz w:val="16"/>
                <w:rFonts w:eastAsia="宋体"/>
              </w:rPr>
              <w:t>完成 A 类方法补强后再进入投稿前语言与格式修订。</w:t>
            </w:r>
          </w:p>
        </w:tc>
      </w:tr>
    </w:tbl>
    <w:p/>
    <w:p>
      <w:pPr>
        <w:pStyle w:val="Heading1"/>
      </w:pPr>
      <w:r>
        <w:t>二、此前问题是否解决：逐项对照清单</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648"/>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序号</w:t>
            </w:r>
          </w:p>
        </w:tc>
        <w:tc>
          <w:tcPr>
            <w:tcW w:type="dxa" w:w="2232"/>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先前问题</w:t>
            </w:r>
          </w:p>
        </w:tc>
        <w:tc>
          <w:tcPr>
            <w:tcW w:type="dxa" w:w="1368"/>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解决状态</w:t>
            </w:r>
          </w:p>
        </w:tc>
        <w:tc>
          <w:tcPr>
            <w:tcW w:type="dxa" w:w="3240"/>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v2c表现</w:t>
            </w:r>
          </w:p>
        </w:tc>
        <w:tc>
          <w:tcPr>
            <w:tcW w:type="dxa" w:w="3240"/>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仍需修改</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1</w:t>
            </w:r>
          </w:p>
        </w:tc>
        <w:tc>
          <w:tcPr>
            <w:tcW w:type="dxa" w:w="2232"/>
            <w:vAlign w:val="center"/>
            <w:tcMar>
              <w:top w:w="120" w:type="dxa"/>
              <w:start w:w="120" w:type="dxa"/>
              <w:bottom w:w="120" w:type="dxa"/>
              <w:end w:w="120" w:type="dxa"/>
            </w:tcMar>
          </w:tcPr>
          <w:p>
            <w:pPr>
              <w:spacing w:after="40" w:line="276" w:lineRule="auto"/>
              <w:jc w:val="center"/>
            </w:pPr>
            <w:r/>
            <w:r>
              <w:rPr>
                <w:b w:val="0"/>
                <w:sz w:val="15"/>
                <w:rFonts w:eastAsia="宋体"/>
              </w:rPr>
              <w:t>题目外延偏大</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已基本解决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标题改为“结构重组”，副标题强调“条件关联证据”。</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不要再使用“优化”“提升治理质量”等强价值判断。</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2</w:t>
            </w:r>
          </w:p>
        </w:tc>
        <w:tc>
          <w:tcPr>
            <w:tcW w:type="dxa" w:w="2232"/>
            <w:vAlign w:val="center"/>
            <w:tcMar>
              <w:top w:w="120" w:type="dxa"/>
              <w:start w:w="120" w:type="dxa"/>
              <w:bottom w:w="120" w:type="dxa"/>
              <w:end w:w="120" w:type="dxa"/>
            </w:tcMar>
          </w:tcPr>
          <w:p>
            <w:pPr>
              <w:spacing w:after="40" w:line="276" w:lineRule="auto"/>
              <w:jc w:val="center"/>
            </w:pPr>
            <w:r/>
            <w:r>
              <w:rPr>
                <w:b w:val="0"/>
                <w:sz w:val="15"/>
                <w:rFonts w:eastAsia="宋体"/>
              </w:rPr>
              <w:t>摘要过度强调基准显著</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部分解决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摘要已加入 log-ratio、趋势调整和 wild bootstrap 信息。</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建议把“基准显著”放在“有限证据”框架下，而不是作为核心卖点。</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3</w:t>
            </w:r>
          </w:p>
        </w:tc>
        <w:tc>
          <w:tcPr>
            <w:tcW w:type="dxa" w:w="2232"/>
            <w:vAlign w:val="center"/>
            <w:tcMar>
              <w:top w:w="120" w:type="dxa"/>
              <w:start w:w="120" w:type="dxa"/>
              <w:bottom w:w="120" w:type="dxa"/>
              <w:end w:w="120" w:type="dxa"/>
            </w:tcMar>
          </w:tcPr>
          <w:p>
            <w:pPr>
              <w:spacing w:after="40" w:line="276" w:lineRule="auto"/>
              <w:jc w:val="left"/>
            </w:pPr>
            <w:r/>
            <w:r>
              <w:rPr>
                <w:b w:val="0"/>
                <w:sz w:val="15"/>
                <w:rFonts w:eastAsia="宋体"/>
              </w:rPr>
              <w:t>H1把执行上升和采购下降写成两条独立发现</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已基本解决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H1 改为“由采购/准备阶段向执行阶段发生相对份额重组”。</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实证主变量也应同步以相对份额指标为中心。</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4</w:t>
            </w:r>
          </w:p>
        </w:tc>
        <w:tc>
          <w:tcPr>
            <w:tcW w:type="dxa" w:w="2232"/>
            <w:vAlign w:val="center"/>
            <w:tcMar>
              <w:top w:w="120" w:type="dxa"/>
              <w:start w:w="120" w:type="dxa"/>
              <w:bottom w:w="120" w:type="dxa"/>
              <w:end w:w="120" w:type="dxa"/>
            </w:tcMar>
          </w:tcPr>
          <w:p>
            <w:pPr>
              <w:spacing w:after="40" w:line="276" w:lineRule="auto"/>
              <w:jc w:val="center"/>
            </w:pPr>
            <w:r/>
            <w:r>
              <w:rPr>
                <w:b w:val="0"/>
                <w:sz w:val="15"/>
                <w:rFonts w:eastAsia="宋体"/>
              </w:rPr>
              <w:t>H2b像强中介假设</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已基本解决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H2b 改为“经验关联”。</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机制部分全程避免“通过……导致……”的强中介措辞。</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5</w:t>
            </w:r>
          </w:p>
        </w:tc>
        <w:tc>
          <w:tcPr>
            <w:tcW w:type="dxa" w:w="2232"/>
            <w:vAlign w:val="center"/>
            <w:tcMar>
              <w:top w:w="120" w:type="dxa"/>
              <w:start w:w="120" w:type="dxa"/>
              <w:bottom w:w="120" w:type="dxa"/>
              <w:end w:w="120" w:type="dxa"/>
            </w:tcMar>
          </w:tcPr>
          <w:p>
            <w:pPr>
              <w:spacing w:after="40" w:line="276" w:lineRule="auto"/>
              <w:jc w:val="left"/>
            </w:pPr>
            <w:r/>
            <w:r>
              <w:rPr>
                <w:b w:val="0"/>
                <w:sz w:val="15"/>
                <w:rFonts w:eastAsia="宋体"/>
              </w:rPr>
              <w:t>treat_share不可复核</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部分解决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新增 treated_city_count/city_count 公式。</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仍需列明城市进入处理的判定标准、名单、年份、数据来源和阈值。</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6</w:t>
            </w:r>
          </w:p>
        </w:tc>
        <w:tc>
          <w:tcPr>
            <w:tcW w:type="dxa" w:w="2232"/>
            <w:vAlign w:val="center"/>
            <w:tcMar>
              <w:top w:w="120" w:type="dxa"/>
              <w:start w:w="120" w:type="dxa"/>
              <w:bottom w:w="120" w:type="dxa"/>
              <w:end w:w="120" w:type="dxa"/>
            </w:tcMar>
          </w:tcPr>
          <w:p>
            <w:pPr>
              <w:spacing w:after="40" w:line="276" w:lineRule="auto"/>
              <w:jc w:val="left"/>
            </w:pPr>
            <w:r/>
            <w:r>
              <w:rPr>
                <w:b w:val="0"/>
                <w:sz w:val="15"/>
                <w:rFonts w:eastAsia="宋体"/>
              </w:rPr>
              <w:t>处理时点集中与TWFE边界</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未根本解决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文中承认局限，但主模型仍未替换。</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若目标顶刊，需补 group-time ATT / interaction-weighted 或明确降格为关联研究。</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7</w:t>
            </w:r>
          </w:p>
        </w:tc>
        <w:tc>
          <w:tcPr>
            <w:tcW w:type="dxa" w:w="2232"/>
            <w:vAlign w:val="center"/>
            <w:tcMar>
              <w:top w:w="120" w:type="dxa"/>
              <w:start w:w="120" w:type="dxa"/>
              <w:bottom w:w="120" w:type="dxa"/>
              <w:end w:w="120" w:type="dxa"/>
            </w:tcMar>
          </w:tcPr>
          <w:p>
            <w:pPr>
              <w:spacing w:after="40" w:line="276" w:lineRule="auto"/>
              <w:jc w:val="center"/>
            </w:pPr>
            <w:r/>
            <w:r>
              <w:rPr>
                <w:b w:val="0"/>
                <w:sz w:val="15"/>
                <w:rFonts w:eastAsia="宋体"/>
              </w:rPr>
              <w:t>份额型因变量构成约束</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部分解决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新增 log-ratio 稳健性，方向显著。</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仍需把 log-ratio 从“稳健性”提升为主证据之一，或补 fractional/compositional 模型。</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8</w:t>
            </w:r>
          </w:p>
        </w:tc>
        <w:tc>
          <w:tcPr>
            <w:tcW w:type="dxa" w:w="2232"/>
            <w:vAlign w:val="center"/>
            <w:tcMar>
              <w:top w:w="120" w:type="dxa"/>
              <w:start w:w="120" w:type="dxa"/>
              <w:bottom w:w="120" w:type="dxa"/>
              <w:end w:w="120" w:type="dxa"/>
            </w:tcMar>
          </w:tcPr>
          <w:p>
            <w:pPr>
              <w:spacing w:after="40" w:line="276" w:lineRule="auto"/>
              <w:jc w:val="center"/>
            </w:pPr>
            <w:r/>
            <w:r>
              <w:rPr>
                <w:b w:val="0"/>
                <w:sz w:val="15"/>
                <w:rFonts w:eastAsia="宋体"/>
              </w:rPr>
              <w:t>动态路径压力</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未解决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处理前显著、处理后符号反转依然存在。</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结论必须写成“当期结构重组信号，持续性不足”。</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9</w:t>
            </w:r>
          </w:p>
        </w:tc>
        <w:tc>
          <w:tcPr>
            <w:tcW w:type="dxa" w:w="2232"/>
            <w:vAlign w:val="center"/>
            <w:tcMar>
              <w:top w:w="120" w:type="dxa"/>
              <w:start w:w="120" w:type="dxa"/>
              <w:bottom w:w="120" w:type="dxa"/>
              <w:end w:w="120" w:type="dxa"/>
            </w:tcMar>
          </w:tcPr>
          <w:p>
            <w:pPr>
              <w:spacing w:after="40" w:line="276" w:lineRule="auto"/>
              <w:jc w:val="left"/>
            </w:pPr>
            <w:r/>
            <w:r>
              <w:rPr>
                <w:b w:val="0"/>
                <w:sz w:val="15"/>
                <w:rFonts w:eastAsia="宋体"/>
              </w:rPr>
              <w:t>wild bootstrap削弱显著性</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部分解决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文中已经承认 5% 水平不稳。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不能再说“稳健支持”，只能说“方向一致但统计强度脆弱”。</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10</w:t>
            </w:r>
          </w:p>
        </w:tc>
        <w:tc>
          <w:tcPr>
            <w:tcW w:type="dxa" w:w="2232"/>
            <w:vAlign w:val="center"/>
            <w:tcMar>
              <w:top w:w="120" w:type="dxa"/>
              <w:start w:w="120" w:type="dxa"/>
              <w:bottom w:w="120" w:type="dxa"/>
              <w:end w:w="120" w:type="dxa"/>
            </w:tcMar>
          </w:tcPr>
          <w:p>
            <w:pPr>
              <w:spacing w:after="40" w:line="276" w:lineRule="auto"/>
              <w:jc w:val="center"/>
            </w:pPr>
            <w:r/>
            <w:r>
              <w:rPr>
                <w:b w:val="0"/>
                <w:sz w:val="15"/>
                <w:rFonts w:eastAsia="宋体"/>
              </w:rPr>
              <w:t>机制变量与处理变量同源</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部分解决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增加相关系数和 VIF 诊断。</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需补变量构造去重规则、leave-one-topic-out 或互斥词典说明。</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11</w:t>
            </w:r>
          </w:p>
        </w:tc>
        <w:tc>
          <w:tcPr>
            <w:tcW w:type="dxa" w:w="2232"/>
            <w:vAlign w:val="center"/>
            <w:tcMar>
              <w:top w:w="120" w:type="dxa"/>
              <w:start w:w="120" w:type="dxa"/>
              <w:bottom w:w="120" w:type="dxa"/>
              <w:end w:w="120" w:type="dxa"/>
            </w:tcMar>
          </w:tcPr>
          <w:p>
            <w:pPr>
              <w:spacing w:after="40" w:line="276" w:lineRule="auto"/>
              <w:jc w:val="left"/>
            </w:pPr>
            <w:r/>
            <w:r>
              <w:rPr>
                <w:b w:val="0"/>
                <w:sz w:val="15"/>
                <w:rFonts w:eastAsia="宋体"/>
              </w:rPr>
              <w:t>机制/异质性摘要表不可复核</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未完全解决</w:t>
            </w:r>
          </w:p>
        </w:tc>
        <w:tc>
          <w:tcPr>
            <w:tcW w:type="dxa" w:w="3240"/>
            <w:vAlign w:val="center"/>
            <w:tcMar>
              <w:top w:w="120" w:type="dxa"/>
              <w:start w:w="120" w:type="dxa"/>
              <w:bottom w:w="120" w:type="dxa"/>
              <w:end w:w="120" w:type="dxa"/>
            </w:tcMar>
          </w:tcPr>
          <w:p>
            <w:pPr>
              <w:spacing w:after="40" w:line="276" w:lineRule="auto"/>
              <w:jc w:val="center"/>
            </w:pPr>
            <w:r/>
            <w:r>
              <w:rPr>
                <w:b w:val="0"/>
                <w:sz w:val="15"/>
                <w:rFonts w:eastAsia="宋体"/>
              </w:rPr>
              <w:t>主文仍以摘要表为主。</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附录必须给完整系数、SE、p值、FE、N、R²和聚类说明。</w:t>
            </w:r>
          </w:p>
        </w:tc>
      </w:tr>
      <w:tr>
        <w:tc>
          <w:tcPr>
            <w:tcW w:type="dxa" w:w="648"/>
            <w:vAlign w:val="center"/>
            <w:tcMar>
              <w:top w:w="120" w:type="dxa"/>
              <w:start w:w="120" w:type="dxa"/>
              <w:bottom w:w="120" w:type="dxa"/>
              <w:end w:w="120" w:type="dxa"/>
            </w:tcMar>
            <w:shd w:fill="D9EAF7"/>
          </w:tcPr>
          <w:p>
            <w:pPr>
              <w:spacing w:after="40" w:line="276" w:lineRule="auto"/>
              <w:jc w:val="center"/>
            </w:pPr>
            <w:r/>
            <w:r>
              <w:rPr>
                <w:b w:val="0"/>
                <w:sz w:val="15"/>
                <w:rFonts w:eastAsia="宋体"/>
              </w:rPr>
              <w:t>12</w:t>
            </w:r>
          </w:p>
        </w:tc>
        <w:tc>
          <w:tcPr>
            <w:tcW w:type="dxa" w:w="2232"/>
            <w:vAlign w:val="center"/>
            <w:tcMar>
              <w:top w:w="120" w:type="dxa"/>
              <w:start w:w="120" w:type="dxa"/>
              <w:bottom w:w="120" w:type="dxa"/>
              <w:end w:w="120" w:type="dxa"/>
            </w:tcMar>
          </w:tcPr>
          <w:p>
            <w:pPr>
              <w:spacing w:after="40" w:line="276" w:lineRule="auto"/>
              <w:jc w:val="center"/>
            </w:pPr>
            <w:r/>
            <w:r>
              <w:rPr>
                <w:b w:val="0"/>
                <w:sz w:val="15"/>
                <w:rFonts w:eastAsia="宋体"/>
              </w:rPr>
              <w:t>ML扩展抢主线</w:t>
            </w:r>
          </w:p>
        </w:tc>
        <w:tc>
          <w:tcPr>
            <w:tcW w:type="dxa" w:w="1368"/>
            <w:vAlign w:val="center"/>
            <w:tcMar>
              <w:top w:w="120" w:type="dxa"/>
              <w:start w:w="120" w:type="dxa"/>
              <w:bottom w:w="120" w:type="dxa"/>
              <w:end w:w="120" w:type="dxa"/>
            </w:tcMar>
          </w:tcPr>
          <w:p>
            <w:pPr>
              <w:spacing w:after="40" w:line="276" w:lineRule="auto"/>
              <w:jc w:val="center"/>
            </w:pPr>
            <w:r/>
            <w:r>
              <w:rPr>
                <w:b w:val="0"/>
                <w:sz w:val="15"/>
                <w:rFonts w:eastAsia="宋体"/>
              </w:rPr>
              <w:t>基本解决</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已经界定为治理辅助识别。</w:t>
            </w:r>
          </w:p>
        </w:tc>
        <w:tc>
          <w:tcPr>
            <w:tcW w:type="dxa" w:w="3240"/>
            <w:vAlign w:val="center"/>
            <w:tcMar>
              <w:top w:w="120" w:type="dxa"/>
              <w:start w:w="120" w:type="dxa"/>
              <w:bottom w:w="120" w:type="dxa"/>
              <w:end w:w="120" w:type="dxa"/>
            </w:tcMar>
          </w:tcPr>
          <w:p>
            <w:pPr>
              <w:spacing w:after="40" w:line="276" w:lineRule="auto"/>
              <w:jc w:val="left"/>
            </w:pPr>
            <w:r/>
            <w:r>
              <w:rPr>
                <w:b w:val="0"/>
                <w:sz w:val="15"/>
                <w:rFonts w:eastAsia="宋体"/>
              </w:rPr>
              <w:t>正文进一步压缩，保留应用价值但不参与主贡献排序。</w:t>
            </w:r>
          </w:p>
        </w:tc>
      </w:tr>
    </w:tbl>
    <w:p/>
    <w:p>
      <w:pPr>
        <w:pStyle w:val="Heading1"/>
      </w:pPr>
      <w:r>
        <w:t>三、识别与模型审查</w:t>
      </w:r>
    </w:p>
    <w:p>
      <w:pPr>
        <w:spacing w:after="100" w:line="283" w:lineRule="auto"/>
      </w:pPr>
      <w:r>
        <w:rPr>
          <w:rFonts w:eastAsia="宋体"/>
        </w:rPr>
        <w:t>v2c 的主识别模型仍是以 treat_share 为核心处理变量的地区与年份双向固定效应模型。这个设定可以作为经验关联估计，但在当前数据结构下不足以支持强因果识别。原因有三点：第一，treat_share 是连续暴露强度，而非清晰外生的离散政策冲击；第二，多数地区集中在 2016 年进入处理，2017 年只有少量后续进入，never-treated 地区有限；第三，事件研究结果显示处理前已经存在显著差异，处理后又出现方向反转。</w:t>
      </w:r>
    </w:p>
    <w:p>
      <w:pPr>
        <w:spacing w:after="100" w:line="283" w:lineRule="auto"/>
      </w:pPr>
      <w:r>
        <w:rPr>
          <w:rFonts w:eastAsia="宋体"/>
        </w:rPr>
        <w:t>因此，v2c 的正确定位应是“省级改革暴露强度与 PPP 推进结构重组之间的条件关联证据”，而不是“政务服务数字化改革显著优化 PPP 治理的因果证据”。当前题目和副标题已经朝这个方向收束，这是正确的，但正文第4.4节、摘要和结论仍需彻底统一。</w:t>
      </w:r>
    </w:p>
    <w:p>
      <w:pPr>
        <w:spacing w:after="100" w:line="283" w:lineRule="auto"/>
      </w:pPr>
      <w:r>
        <w:rPr>
          <w:rFonts w:eastAsia="宋体"/>
        </w:rPr>
        <w:t>建议采用两条路线之一。路线一：保守路线。保留现有 TWFE，但全文统一降格为条件关联研究，所有“影响”“促进”“优化”改为“相关”“关联”“呈现结构重组信号”。路线二：增强路线。若能够基于外部政策批次定义 did_any 的处理起点，则补充 group-time ATT 或 interaction-weighted event study，作为附录或主文补充识别。若不能形成外部可核验处理时点，不建议硬做。</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模型/方案</w:t>
            </w:r>
          </w:p>
        </w:tc>
        <w:tc>
          <w:tcPr>
            <w:tcW w:type="dxa" w:w="4176"/>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形式</w:t>
            </w:r>
          </w:p>
        </w:tc>
        <w:tc>
          <w:tcPr>
            <w:tcW w:type="dxa" w:w="4176"/>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审查意见</w:t>
            </w:r>
          </w:p>
        </w:tc>
      </w:tr>
      <w:tr>
        <w:tc>
          <w:tcPr>
            <w:tcW w:type="dxa" w:w="1944"/>
            <w:vAlign w:val="center"/>
            <w:tcMar>
              <w:top w:w="120" w:type="dxa"/>
              <w:start w:w="120" w:type="dxa"/>
              <w:bottom w:w="120" w:type="dxa"/>
              <w:end w:w="120" w:type="dxa"/>
            </w:tcMar>
            <w:shd w:fill="D9EAF7"/>
          </w:tcPr>
          <w:p>
            <w:pPr>
              <w:spacing w:after="40" w:line="276" w:lineRule="auto"/>
              <w:jc w:val="center"/>
            </w:pPr>
            <w:r/>
            <w:r>
              <w:rPr>
                <w:b w:val="0"/>
                <w:sz w:val="16"/>
                <w:rFonts w:eastAsia="宋体"/>
              </w:rPr>
              <w:t>当前主模型</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Y_pt = β treat_share_pt + X_pt γ + μ_p + λ_t + ε_pt</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可估计条件关联，但不能自动等同因果效应。</w:t>
            </w:r>
          </w:p>
        </w:tc>
      </w:tr>
      <w:tr>
        <w:tc>
          <w:tcPr>
            <w:tcW w:type="dxa" w:w="1944"/>
            <w:vAlign w:val="center"/>
            <w:tcMar>
              <w:top w:w="120" w:type="dxa"/>
              <w:start w:w="120" w:type="dxa"/>
              <w:bottom w:w="120" w:type="dxa"/>
              <w:end w:w="120" w:type="dxa"/>
            </w:tcMar>
            <w:shd w:fill="D9EAF7"/>
          </w:tcPr>
          <w:p>
            <w:pPr>
              <w:spacing w:after="40" w:line="276" w:lineRule="auto"/>
              <w:jc w:val="center"/>
            </w:pPr>
            <w:r/>
            <w:r>
              <w:rPr>
                <w:b w:val="0"/>
                <w:sz w:val="16"/>
                <w:rFonts w:eastAsia="宋体"/>
              </w:rPr>
              <w:t>log-ratio模型</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log((exec_share+c)/(proc_share+c)) = β treat_share + controls + FE</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建议提升为主结果之一，因为它更适配份额构成性。</w:t>
            </w:r>
          </w:p>
        </w:tc>
      </w:tr>
      <w:tr>
        <w:tc>
          <w:tcPr>
            <w:tcW w:type="dxa" w:w="1944"/>
            <w:vAlign w:val="center"/>
            <w:tcMar>
              <w:top w:w="120" w:type="dxa"/>
              <w:start w:w="120" w:type="dxa"/>
              <w:bottom w:w="120" w:type="dxa"/>
              <w:end w:w="120" w:type="dxa"/>
            </w:tcMar>
            <w:shd w:fill="D9EAF7"/>
          </w:tcPr>
          <w:p>
            <w:pPr>
              <w:spacing w:after="40" w:line="276" w:lineRule="auto"/>
              <w:jc w:val="center"/>
            </w:pPr>
            <w:r/>
            <w:r>
              <w:rPr>
                <w:b w:val="0"/>
                <w:sz w:val="16"/>
                <w:rFonts w:eastAsia="宋体"/>
              </w:rPr>
              <w:t>did_any替代</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以外部制度节点定义二元处理状态</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只有在处理起点可外部验证时才适合。</w:t>
            </w:r>
          </w:p>
        </w:tc>
      </w:tr>
      <w:tr>
        <w:tc>
          <w:tcPr>
            <w:tcW w:type="dxa" w:w="1944"/>
            <w:vAlign w:val="center"/>
            <w:tcMar>
              <w:top w:w="120" w:type="dxa"/>
              <w:start w:w="120" w:type="dxa"/>
              <w:bottom w:w="120" w:type="dxa"/>
              <w:end w:w="120" w:type="dxa"/>
            </w:tcMar>
            <w:shd w:fill="D9EAF7"/>
          </w:tcPr>
          <w:p>
            <w:pPr>
              <w:spacing w:after="40" w:line="276" w:lineRule="auto"/>
              <w:jc w:val="center"/>
            </w:pPr>
            <w:r/>
            <w:r>
              <w:rPr>
                <w:b w:val="0"/>
                <w:sz w:val="16"/>
                <w:rFonts w:eastAsia="宋体"/>
              </w:rPr>
              <w:t>did_intensity替代</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did_any × treat_share</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可作为敏感性检验，但仍需解释强度来源。</w:t>
            </w:r>
          </w:p>
        </w:tc>
      </w:tr>
      <w:tr>
        <w:tc>
          <w:tcPr>
            <w:tcW w:type="dxa" w:w="1944"/>
            <w:vAlign w:val="center"/>
            <w:tcMar>
              <w:top w:w="120" w:type="dxa"/>
              <w:start w:w="120" w:type="dxa"/>
              <w:bottom w:w="120" w:type="dxa"/>
              <w:end w:w="120" w:type="dxa"/>
            </w:tcMar>
            <w:shd w:fill="D9EAF7"/>
          </w:tcPr>
          <w:p>
            <w:pPr>
              <w:spacing w:after="40" w:line="276" w:lineRule="auto"/>
              <w:jc w:val="center"/>
            </w:pPr>
            <w:r/>
            <w:r>
              <w:rPr>
                <w:b w:val="0"/>
                <w:sz w:val="16"/>
                <w:rFonts w:eastAsia="宋体"/>
              </w:rPr>
              <w:t>事件研究</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lead/lag 动态路径</w:t>
            </w:r>
          </w:p>
        </w:tc>
        <w:tc>
          <w:tcPr>
            <w:tcW w:type="dxa" w:w="4176"/>
            <w:vAlign w:val="center"/>
            <w:tcMar>
              <w:top w:w="120" w:type="dxa"/>
              <w:start w:w="120" w:type="dxa"/>
              <w:bottom w:w="120" w:type="dxa"/>
              <w:end w:w="120" w:type="dxa"/>
            </w:tcMar>
          </w:tcPr>
          <w:p>
            <w:pPr>
              <w:spacing w:after="40" w:line="276" w:lineRule="auto"/>
              <w:jc w:val="left"/>
            </w:pPr>
            <w:r/>
            <w:r>
              <w:rPr>
                <w:b w:val="0"/>
                <w:sz w:val="16"/>
                <w:rFonts w:eastAsia="宋体"/>
              </w:rPr>
              <w:t>只能作为识别边界诊断，不可作为平行趋势强证明。</w:t>
            </w:r>
          </w:p>
        </w:tc>
      </w:tr>
    </w:tbl>
    <w:p/>
    <w:p>
      <w:pPr>
        <w:pStyle w:val="Heading1"/>
      </w:pPr>
      <w:r>
        <w:t>四、变量与数据审查</w:t>
      </w:r>
    </w:p>
    <w:p>
      <w:pPr>
        <w:spacing w:after="100" w:line="283" w:lineRule="auto"/>
      </w:pPr>
      <w:r>
        <w:rPr>
          <w:rFonts w:eastAsia="宋体"/>
        </w:rPr>
        <w:t>v2c 在变量透明度上有明显进步：treat_share 由抽象的“暴露强度”改为 treated_city_count/city_count；did_any、did_intensity 与 treat_share 的关系也更清楚；样本结构从1472份文本到1307份正式文档、288个省年、266个主面板观测、262个正式估计观测的链条被写出。</w:t>
      </w:r>
    </w:p>
    <w:p>
      <w:pPr>
        <w:spacing w:after="100" w:line="283" w:lineRule="auto"/>
      </w:pPr>
      <w:r>
        <w:rPr>
          <w:rFonts w:eastAsia="宋体"/>
        </w:rPr>
        <w:t>但对顶刊审稿而言，这些仍不够。核心缺口是“规则未落地”：treated_city_count 的判定标准是什么？城市进入处理的年份来自哪个公开文件或文本阈值？city_count 是否按行政区划固定，是否随年份变化？从266到262删掉了哪些观测？缺失值、异常值、缩尾和标准化规则在哪里？这些不补，审稿人仍会认为核心变量不可复核。</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12"/>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审查对象</w:t>
            </w:r>
          </w:p>
        </w:tc>
        <w:tc>
          <w:tcPr>
            <w:tcW w:type="dxa" w:w="2304"/>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v2c改进</w:t>
            </w:r>
          </w:p>
        </w:tc>
        <w:tc>
          <w:tcPr>
            <w:tcW w:type="dxa" w:w="3168"/>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仍存问题</w:t>
            </w:r>
          </w:p>
        </w:tc>
        <w:tc>
          <w:tcPr>
            <w:tcW w:type="dxa" w:w="3456"/>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具体修改</w:t>
            </w:r>
          </w:p>
        </w:tc>
      </w:tr>
      <w:tr>
        <w:tc>
          <w:tcPr>
            <w:tcW w:type="dxa" w:w="1512"/>
            <w:vAlign w:val="center"/>
            <w:tcMar>
              <w:top w:w="120" w:type="dxa"/>
              <w:start w:w="120" w:type="dxa"/>
              <w:bottom w:w="120" w:type="dxa"/>
              <w:end w:w="120" w:type="dxa"/>
            </w:tcMar>
            <w:shd w:fill="D9EAF7"/>
          </w:tcPr>
          <w:p>
            <w:pPr>
              <w:spacing w:after="40" w:line="276" w:lineRule="auto"/>
              <w:jc w:val="center"/>
            </w:pPr>
            <w:r/>
            <w:r>
              <w:rPr>
                <w:b w:val="0"/>
                <w:sz w:val="16"/>
                <w:rFonts w:eastAsia="宋体"/>
              </w:rPr>
              <w:t>treat_share</w:t>
            </w:r>
          </w:p>
        </w:tc>
        <w:tc>
          <w:tcPr>
            <w:tcW w:type="dxa" w:w="2304"/>
            <w:vAlign w:val="center"/>
            <w:tcMar>
              <w:top w:w="120" w:type="dxa"/>
              <w:start w:w="120" w:type="dxa"/>
              <w:bottom w:w="120" w:type="dxa"/>
              <w:end w:w="120" w:type="dxa"/>
            </w:tcMar>
          </w:tcPr>
          <w:p>
            <w:pPr>
              <w:spacing w:after="40" w:line="276" w:lineRule="auto"/>
              <w:jc w:val="center"/>
            </w:pPr>
            <w:r/>
            <w:r>
              <w:rPr>
                <w:b w:val="0"/>
                <w:sz w:val="16"/>
                <w:rFonts w:eastAsia="宋体"/>
              </w:rPr>
              <w:t>已有公式</w:t>
            </w:r>
          </w:p>
        </w:tc>
        <w:tc>
          <w:tcPr>
            <w:tcW w:type="dxa" w:w="3168"/>
            <w:vAlign w:val="center"/>
            <w:tcMar>
              <w:top w:w="120" w:type="dxa"/>
              <w:start w:w="120" w:type="dxa"/>
              <w:bottom w:w="120" w:type="dxa"/>
              <w:end w:w="120" w:type="dxa"/>
            </w:tcMar>
          </w:tcPr>
          <w:p>
            <w:pPr>
              <w:spacing w:after="40" w:line="276" w:lineRule="auto"/>
              <w:jc w:val="left"/>
            </w:pPr>
            <w:r/>
            <w:r>
              <w:rPr>
                <w:b w:val="0"/>
                <w:sz w:val="16"/>
                <w:rFonts w:eastAsia="宋体"/>
              </w:rPr>
              <w:t>缺进入处理判定标准、城市名单和年份来源</w:t>
            </w:r>
          </w:p>
        </w:tc>
        <w:tc>
          <w:tcPr>
            <w:tcW w:type="dxa" w:w="3456"/>
            <w:vAlign w:val="center"/>
            <w:tcMar>
              <w:top w:w="120" w:type="dxa"/>
              <w:start w:w="120" w:type="dxa"/>
              <w:bottom w:w="120" w:type="dxa"/>
              <w:end w:w="120" w:type="dxa"/>
            </w:tcMar>
          </w:tcPr>
          <w:p>
            <w:pPr>
              <w:spacing w:after="40" w:line="276" w:lineRule="auto"/>
              <w:jc w:val="left"/>
            </w:pPr>
            <w:r/>
            <w:r>
              <w:rPr>
                <w:b w:val="0"/>
                <w:sz w:val="16"/>
                <w:rFonts w:eastAsia="宋体"/>
              </w:rPr>
              <w:t>附录列出城市级处理清单、阈值、文件来源和聚合公式</w:t>
            </w:r>
          </w:p>
        </w:tc>
      </w:tr>
      <w:tr>
        <w:tc>
          <w:tcPr>
            <w:tcW w:type="dxa" w:w="1512"/>
            <w:vAlign w:val="center"/>
            <w:tcMar>
              <w:top w:w="120" w:type="dxa"/>
              <w:start w:w="120" w:type="dxa"/>
              <w:bottom w:w="120" w:type="dxa"/>
              <w:end w:w="120" w:type="dxa"/>
            </w:tcMar>
            <w:shd w:fill="D9EAF7"/>
          </w:tcPr>
          <w:p>
            <w:pPr>
              <w:spacing w:after="40" w:line="276" w:lineRule="auto"/>
              <w:jc w:val="center"/>
            </w:pPr>
            <w:r/>
            <w:r>
              <w:rPr>
                <w:b w:val="0"/>
                <w:sz w:val="16"/>
                <w:rFonts w:eastAsia="宋体"/>
              </w:rPr>
              <w:t>did_any</w:t>
            </w:r>
          </w:p>
        </w:tc>
        <w:tc>
          <w:tcPr>
            <w:tcW w:type="dxa" w:w="2304"/>
            <w:vAlign w:val="center"/>
            <w:tcMar>
              <w:top w:w="120" w:type="dxa"/>
              <w:start w:w="120" w:type="dxa"/>
              <w:bottom w:w="120" w:type="dxa"/>
              <w:end w:w="120" w:type="dxa"/>
            </w:tcMar>
          </w:tcPr>
          <w:p>
            <w:pPr>
              <w:spacing w:after="40" w:line="276" w:lineRule="auto"/>
              <w:jc w:val="center"/>
            </w:pPr>
            <w:r/>
            <w:r>
              <w:rPr>
                <w:b w:val="0"/>
                <w:sz w:val="16"/>
                <w:rFonts w:eastAsia="宋体"/>
              </w:rPr>
              <w:t>已有概念区分</w:t>
            </w:r>
          </w:p>
        </w:tc>
        <w:tc>
          <w:tcPr>
            <w:tcW w:type="dxa" w:w="3168"/>
            <w:vAlign w:val="center"/>
            <w:tcMar>
              <w:top w:w="120" w:type="dxa"/>
              <w:start w:w="120" w:type="dxa"/>
              <w:bottom w:w="120" w:type="dxa"/>
              <w:end w:w="120" w:type="dxa"/>
            </w:tcMar>
          </w:tcPr>
          <w:p>
            <w:pPr>
              <w:spacing w:after="40" w:line="276" w:lineRule="auto"/>
              <w:jc w:val="left"/>
            </w:pPr>
            <w:r/>
            <w:r>
              <w:rPr>
                <w:b w:val="0"/>
                <w:sz w:val="16"/>
                <w:rFonts w:eastAsia="宋体"/>
              </w:rPr>
              <w:t>若处理期来自 treat_share 阈值，外生性仍弱</w:t>
            </w:r>
          </w:p>
        </w:tc>
        <w:tc>
          <w:tcPr>
            <w:tcW w:type="dxa" w:w="3456"/>
            <w:vAlign w:val="center"/>
            <w:tcMar>
              <w:top w:w="120" w:type="dxa"/>
              <w:start w:w="120" w:type="dxa"/>
              <w:bottom w:w="120" w:type="dxa"/>
              <w:end w:w="120" w:type="dxa"/>
            </w:tcMar>
          </w:tcPr>
          <w:p>
            <w:pPr>
              <w:spacing w:after="40" w:line="276" w:lineRule="auto"/>
              <w:jc w:val="left"/>
            </w:pPr>
            <w:r/>
            <w:r>
              <w:rPr>
                <w:b w:val="0"/>
                <w:sz w:val="16"/>
                <w:rFonts w:eastAsia="宋体"/>
              </w:rPr>
              <w:t>说明是否来自外部政策批次；若不是，只作敏感性</w:t>
            </w:r>
          </w:p>
        </w:tc>
      </w:tr>
      <w:tr>
        <w:tc>
          <w:tcPr>
            <w:tcW w:type="dxa" w:w="1512"/>
            <w:vAlign w:val="center"/>
            <w:tcMar>
              <w:top w:w="120" w:type="dxa"/>
              <w:start w:w="120" w:type="dxa"/>
              <w:bottom w:w="120" w:type="dxa"/>
              <w:end w:w="120" w:type="dxa"/>
            </w:tcMar>
            <w:shd w:fill="D9EAF7"/>
          </w:tcPr>
          <w:p>
            <w:pPr>
              <w:spacing w:after="40" w:line="276" w:lineRule="auto"/>
              <w:jc w:val="center"/>
            </w:pPr>
            <w:r/>
            <w:r>
              <w:rPr>
                <w:b w:val="0"/>
                <w:sz w:val="16"/>
                <w:rFonts w:eastAsia="宋体"/>
              </w:rPr>
              <w:t>结果变量</w:t>
            </w:r>
          </w:p>
        </w:tc>
        <w:tc>
          <w:tcPr>
            <w:tcW w:type="dxa" w:w="2304"/>
            <w:vAlign w:val="center"/>
            <w:tcMar>
              <w:top w:w="120" w:type="dxa"/>
              <w:start w:w="120" w:type="dxa"/>
              <w:bottom w:w="120" w:type="dxa"/>
              <w:end w:w="120" w:type="dxa"/>
            </w:tcMar>
          </w:tcPr>
          <w:p>
            <w:pPr>
              <w:spacing w:after="40" w:line="276" w:lineRule="auto"/>
              <w:jc w:val="center"/>
            </w:pPr>
            <w:r/>
            <w:r>
              <w:rPr>
                <w:b w:val="0"/>
                <w:sz w:val="16"/>
                <w:rFonts w:eastAsia="宋体"/>
              </w:rPr>
              <w:t>份额型变量解释更谨慎</w:t>
            </w:r>
          </w:p>
        </w:tc>
        <w:tc>
          <w:tcPr>
            <w:tcW w:type="dxa" w:w="3168"/>
            <w:vAlign w:val="center"/>
            <w:tcMar>
              <w:top w:w="120" w:type="dxa"/>
              <w:start w:w="120" w:type="dxa"/>
              <w:bottom w:w="120" w:type="dxa"/>
              <w:end w:w="120" w:type="dxa"/>
            </w:tcMar>
          </w:tcPr>
          <w:p>
            <w:pPr>
              <w:spacing w:after="40" w:line="276" w:lineRule="auto"/>
              <w:jc w:val="left"/>
            </w:pPr>
            <w:r/>
            <w:r>
              <w:rPr>
                <w:b w:val="0"/>
                <w:sz w:val="16"/>
                <w:rFonts w:eastAsia="宋体"/>
              </w:rPr>
              <w:t>仍以 exec/proc 单独线性回归为中心</w:t>
            </w:r>
          </w:p>
        </w:tc>
        <w:tc>
          <w:tcPr>
            <w:tcW w:type="dxa" w:w="3456"/>
            <w:vAlign w:val="center"/>
            <w:tcMar>
              <w:top w:w="120" w:type="dxa"/>
              <w:start w:w="120" w:type="dxa"/>
              <w:bottom w:w="120" w:type="dxa"/>
              <w:end w:w="120" w:type="dxa"/>
            </w:tcMar>
          </w:tcPr>
          <w:p>
            <w:pPr>
              <w:spacing w:after="40" w:line="276" w:lineRule="auto"/>
              <w:jc w:val="left"/>
            </w:pPr>
            <w:r/>
            <w:r>
              <w:rPr>
                <w:b w:val="0"/>
                <w:sz w:val="16"/>
                <w:rFonts w:eastAsia="宋体"/>
              </w:rPr>
              <w:t>主文增加 log-ratio 主结果；附录补 fractional/compositional 模型</w:t>
            </w:r>
          </w:p>
        </w:tc>
      </w:tr>
      <w:tr>
        <w:tc>
          <w:tcPr>
            <w:tcW w:type="dxa" w:w="1512"/>
            <w:vAlign w:val="center"/>
            <w:tcMar>
              <w:top w:w="120" w:type="dxa"/>
              <w:start w:w="120" w:type="dxa"/>
              <w:bottom w:w="120" w:type="dxa"/>
              <w:end w:w="120" w:type="dxa"/>
            </w:tcMar>
            <w:shd w:fill="D9EAF7"/>
          </w:tcPr>
          <w:p>
            <w:pPr>
              <w:spacing w:after="40" w:line="276" w:lineRule="auto"/>
              <w:jc w:val="center"/>
            </w:pPr>
            <w:r/>
            <w:r>
              <w:rPr>
                <w:b w:val="0"/>
                <w:sz w:val="16"/>
                <w:rFonts w:eastAsia="宋体"/>
              </w:rPr>
              <w:t>ppp_quality_zindex</w:t>
            </w:r>
          </w:p>
        </w:tc>
        <w:tc>
          <w:tcPr>
            <w:tcW w:type="dxa" w:w="2304"/>
            <w:vAlign w:val="center"/>
            <w:tcMar>
              <w:top w:w="120" w:type="dxa"/>
              <w:start w:w="120" w:type="dxa"/>
              <w:bottom w:w="120" w:type="dxa"/>
              <w:end w:w="120" w:type="dxa"/>
            </w:tcMar>
          </w:tcPr>
          <w:p>
            <w:pPr>
              <w:spacing w:after="40" w:line="276" w:lineRule="auto"/>
              <w:jc w:val="center"/>
            </w:pPr>
            <w:r/>
            <w:r>
              <w:rPr>
                <w:b w:val="0"/>
                <w:sz w:val="16"/>
                <w:rFonts w:eastAsia="宋体"/>
              </w:rPr>
              <w:t>已降为辅助结果</w:t>
            </w:r>
          </w:p>
        </w:tc>
        <w:tc>
          <w:tcPr>
            <w:tcW w:type="dxa" w:w="3168"/>
            <w:vAlign w:val="center"/>
            <w:tcMar>
              <w:top w:w="120" w:type="dxa"/>
              <w:start w:w="120" w:type="dxa"/>
              <w:bottom w:w="120" w:type="dxa"/>
              <w:end w:w="120" w:type="dxa"/>
            </w:tcMar>
          </w:tcPr>
          <w:p>
            <w:pPr>
              <w:spacing w:after="40" w:line="276" w:lineRule="auto"/>
              <w:jc w:val="left"/>
            </w:pPr>
            <w:r/>
            <w:r>
              <w:rPr>
                <w:b w:val="0"/>
                <w:sz w:val="16"/>
                <w:rFonts w:eastAsia="宋体"/>
              </w:rPr>
              <w:t>构成、方向统一和标准化窗口仍可更透明</w:t>
            </w:r>
          </w:p>
        </w:tc>
        <w:tc>
          <w:tcPr>
            <w:tcW w:type="dxa" w:w="3456"/>
            <w:vAlign w:val="center"/>
            <w:tcMar>
              <w:top w:w="120" w:type="dxa"/>
              <w:start w:w="120" w:type="dxa"/>
              <w:bottom w:w="120" w:type="dxa"/>
              <w:end w:w="120" w:type="dxa"/>
            </w:tcMar>
          </w:tcPr>
          <w:p>
            <w:pPr>
              <w:spacing w:after="40" w:line="276" w:lineRule="auto"/>
              <w:jc w:val="left"/>
            </w:pPr>
            <w:r/>
            <w:r>
              <w:rPr>
                <w:b w:val="0"/>
                <w:sz w:val="16"/>
                <w:rFonts w:eastAsia="宋体"/>
              </w:rPr>
              <w:t>附录列具体指标、权重、标准化公式和方向说明</w:t>
            </w:r>
          </w:p>
        </w:tc>
      </w:tr>
      <w:tr>
        <w:tc>
          <w:tcPr>
            <w:tcW w:type="dxa" w:w="1512"/>
            <w:vAlign w:val="center"/>
            <w:tcMar>
              <w:top w:w="120" w:type="dxa"/>
              <w:start w:w="120" w:type="dxa"/>
              <w:bottom w:w="120" w:type="dxa"/>
              <w:end w:w="120" w:type="dxa"/>
            </w:tcMar>
            <w:shd w:fill="D9EAF7"/>
          </w:tcPr>
          <w:p>
            <w:pPr>
              <w:spacing w:after="40" w:line="276" w:lineRule="auto"/>
              <w:jc w:val="center"/>
            </w:pPr>
            <w:r/>
            <w:r>
              <w:rPr>
                <w:b w:val="0"/>
                <w:sz w:val="16"/>
                <w:rFonts w:eastAsia="宋体"/>
              </w:rPr>
              <w:t>控制变量</w:t>
            </w:r>
          </w:p>
        </w:tc>
        <w:tc>
          <w:tcPr>
            <w:tcW w:type="dxa" w:w="2304"/>
            <w:vAlign w:val="center"/>
            <w:tcMar>
              <w:top w:w="120" w:type="dxa"/>
              <w:start w:w="120" w:type="dxa"/>
              <w:bottom w:w="120" w:type="dxa"/>
              <w:end w:w="120" w:type="dxa"/>
            </w:tcMar>
          </w:tcPr>
          <w:p>
            <w:pPr>
              <w:spacing w:after="40" w:line="276" w:lineRule="auto"/>
              <w:jc w:val="center"/>
            </w:pPr>
            <w:r/>
            <w:r>
              <w:rPr>
                <w:b w:val="0"/>
                <w:sz w:val="16"/>
                <w:rFonts w:eastAsia="宋体"/>
              </w:rPr>
              <w:t>已列出八类控制</w:t>
            </w:r>
          </w:p>
        </w:tc>
        <w:tc>
          <w:tcPr>
            <w:tcW w:type="dxa" w:w="3168"/>
            <w:vAlign w:val="center"/>
            <w:tcMar>
              <w:top w:w="120" w:type="dxa"/>
              <w:start w:w="120" w:type="dxa"/>
              <w:bottom w:w="120" w:type="dxa"/>
              <w:end w:w="120" w:type="dxa"/>
            </w:tcMar>
          </w:tcPr>
          <w:p>
            <w:pPr>
              <w:spacing w:after="40" w:line="276" w:lineRule="auto"/>
              <w:jc w:val="left"/>
            </w:pPr>
            <w:r/>
            <w:r>
              <w:rPr>
                <w:b w:val="0"/>
                <w:sz w:val="16"/>
                <w:rFonts w:eastAsia="宋体"/>
              </w:rPr>
              <w:t>变量来源、单位、变换规则不够细</w:t>
            </w:r>
          </w:p>
        </w:tc>
        <w:tc>
          <w:tcPr>
            <w:tcW w:type="dxa" w:w="3456"/>
            <w:vAlign w:val="center"/>
            <w:tcMar>
              <w:top w:w="120" w:type="dxa"/>
              <w:start w:w="120" w:type="dxa"/>
              <w:bottom w:w="120" w:type="dxa"/>
              <w:end w:w="120" w:type="dxa"/>
            </w:tcMar>
          </w:tcPr>
          <w:p>
            <w:pPr>
              <w:spacing w:after="40" w:line="276" w:lineRule="auto"/>
              <w:jc w:val="left"/>
            </w:pPr>
            <w:r/>
            <w:r>
              <w:rPr>
                <w:b w:val="0"/>
                <w:sz w:val="16"/>
                <w:rFonts w:eastAsia="宋体"/>
              </w:rPr>
              <w:t>变量定义表补数据源、单位、预期方向、缺失处理</w:t>
            </w:r>
          </w:p>
        </w:tc>
      </w:tr>
      <w:tr>
        <w:tc>
          <w:tcPr>
            <w:tcW w:type="dxa" w:w="1512"/>
            <w:vAlign w:val="center"/>
            <w:tcMar>
              <w:top w:w="120" w:type="dxa"/>
              <w:start w:w="120" w:type="dxa"/>
              <w:bottom w:w="120" w:type="dxa"/>
              <w:end w:w="120" w:type="dxa"/>
            </w:tcMar>
            <w:shd w:fill="D9EAF7"/>
          </w:tcPr>
          <w:p>
            <w:pPr>
              <w:spacing w:after="40" w:line="276" w:lineRule="auto"/>
              <w:jc w:val="center"/>
            </w:pPr>
            <w:r/>
            <w:r>
              <w:rPr>
                <w:b w:val="0"/>
                <w:sz w:val="16"/>
                <w:rFonts w:eastAsia="宋体"/>
              </w:rPr>
              <w:t>样本筛选</w:t>
            </w:r>
          </w:p>
        </w:tc>
        <w:tc>
          <w:tcPr>
            <w:tcW w:type="dxa" w:w="2304"/>
            <w:vAlign w:val="center"/>
            <w:tcMar>
              <w:top w:w="120" w:type="dxa"/>
              <w:start w:w="120" w:type="dxa"/>
              <w:bottom w:w="120" w:type="dxa"/>
              <w:end w:w="120" w:type="dxa"/>
            </w:tcMar>
          </w:tcPr>
          <w:p>
            <w:pPr>
              <w:spacing w:after="40" w:line="276" w:lineRule="auto"/>
              <w:jc w:val="center"/>
            </w:pPr>
            <w:r/>
            <w:r>
              <w:rPr>
                <w:b w:val="0"/>
                <w:sz w:val="16"/>
                <w:rFonts w:eastAsia="宋体"/>
              </w:rPr>
              <w:t>链条已列出</w:t>
            </w:r>
          </w:p>
        </w:tc>
        <w:tc>
          <w:tcPr>
            <w:tcW w:type="dxa" w:w="3168"/>
            <w:vAlign w:val="center"/>
            <w:tcMar>
              <w:top w:w="120" w:type="dxa"/>
              <w:start w:w="120" w:type="dxa"/>
              <w:bottom w:w="120" w:type="dxa"/>
              <w:end w:w="120" w:type="dxa"/>
            </w:tcMar>
          </w:tcPr>
          <w:p>
            <w:pPr>
              <w:spacing w:after="40" w:line="276" w:lineRule="auto"/>
              <w:jc w:val="left"/>
            </w:pPr>
            <w:r/>
            <w:r>
              <w:rPr>
                <w:b w:val="0"/>
                <w:sz w:val="16"/>
                <w:rFonts w:eastAsia="宋体"/>
              </w:rPr>
              <w:t>缺逐步删样原因和地区/年份名单</w:t>
            </w:r>
          </w:p>
        </w:tc>
        <w:tc>
          <w:tcPr>
            <w:tcW w:type="dxa" w:w="3456"/>
            <w:vAlign w:val="center"/>
            <w:tcMar>
              <w:top w:w="120" w:type="dxa"/>
              <w:start w:w="120" w:type="dxa"/>
              <w:bottom w:w="120" w:type="dxa"/>
              <w:end w:w="120" w:type="dxa"/>
            </w:tcMar>
          </w:tcPr>
          <w:p>
            <w:pPr>
              <w:spacing w:after="40" w:line="276" w:lineRule="auto"/>
              <w:jc w:val="left"/>
            </w:pPr>
            <w:r/>
            <w:r>
              <w:rPr>
                <w:b w:val="0"/>
                <w:sz w:val="16"/>
                <w:rFonts w:eastAsia="宋体"/>
              </w:rPr>
              <w:t>补样本流转表和删除观测清单</w:t>
            </w:r>
          </w:p>
        </w:tc>
      </w:tr>
    </w:tbl>
    <w:p/>
    <w:p>
      <w:pPr>
        <w:pStyle w:val="Heading1"/>
      </w:pPr>
      <w:r>
        <w:t>五、结果解释审查</w:t>
      </w:r>
    </w:p>
    <w:p>
      <w:pPr>
        <w:spacing w:after="100" w:line="283" w:lineRule="auto"/>
      </w:pPr>
      <w:r>
        <w:rPr>
          <w:rFonts w:eastAsia="宋体"/>
        </w:rPr>
        <w:t>v2c 最大的正确方向，是承认结果强度存在层级差异：基准 TWFE 显著，log-ratio 支持相对份额重组，但趋势调整和 wild bootstrap 削弱显著性，事件研究不支持单调持续改善。这使论文比 v2b 更诚实，也更接近高水平期刊的证据边界要求。</w:t>
      </w:r>
    </w:p>
    <w:p>
      <w:pPr>
        <w:spacing w:after="100" w:line="283" w:lineRule="auto"/>
      </w:pPr>
      <w:r>
        <w:rPr>
          <w:rFonts w:eastAsia="宋体"/>
        </w:rPr>
        <w:t>但写法仍需进一步调整。建议把第5部分的叙事顺序改为“基准信号 - 构成性补强 - 动态边界 - 防守检验 - 机制解释”，而不是先强写基准显著、后面再补充限制。这样可以避免读者形成“主结果很强，只是有一点边界”的误解。</w:t>
      </w:r>
    </w:p>
    <w:p>
      <w:pPr>
        <w:spacing w:after="100" w:line="283" w:lineRule="auto"/>
      </w:pPr>
      <w:r>
        <w:rPr>
          <w:rFonts w:eastAsia="宋体"/>
        </w:rPr>
        <w:t>推荐改写句：在基准双向固定效应规格下，treat_share 与 PPP 执行阶段占比呈正相关、与采购阶段占比呈负相关；对数比率检验进一步显示，改革暴露强度较高的地区更可能出现由采购阶段向执行阶段的相对份额重组。但趋势调整、事件研究和 wild bootstrap 结果表明，这一关系在统计强度和动态持续性上仍较脆弱，因而本文将其解释为过程性和方向性的条件关联证据，而非稳定的强因果效应。</w:t>
      </w:r>
    </w:p>
    <w:p>
      <w:pPr>
        <w:pStyle w:val="Heading1"/>
      </w:pPr>
      <w:r>
        <w:t>六、理论与机制重构建议</w:t>
      </w:r>
    </w:p>
    <w:p>
      <w:pPr>
        <w:spacing w:after="100" w:line="283" w:lineRule="auto"/>
      </w:pPr>
      <w:r>
        <w:rPr>
          <w:rFonts w:eastAsia="宋体"/>
        </w:rPr>
        <w:t>理论主线应继续收缩为：“数字化改革改变制度接口和前端规范 - 降低跨部门协同摩擦 - 推动 PPP 项目阶段结构发生相对份额重组”。这个主线比“数字政府提升 PPP 治理质量”更符合当前证据。</w:t>
      </w:r>
    </w:p>
    <w:p>
      <w:pPr>
        <w:spacing w:after="100" w:line="283" w:lineRule="auto"/>
      </w:pPr>
      <w:r>
        <w:rPr>
          <w:rFonts w:eastAsia="宋体"/>
        </w:rPr>
        <w:t>H1 已基本合格，但最好把“越可能”改成更可检验的“与……呈正向关联”。例如：H1：政务服务数字化改革暴露强度越高，PPP项目推进结构由采购/准备阶段向执行阶段发生相对份额重组的程度越高。</w:t>
      </w:r>
    </w:p>
    <w:p>
      <w:pPr>
        <w:spacing w:after="100" w:line="283" w:lineRule="auto"/>
      </w:pPr>
      <w:r>
        <w:rPr>
          <w:rFonts w:eastAsia="宋体"/>
        </w:rPr>
        <w:t>H2a 可以保留为“接口优先响应”。H2b 必须继续保持“经验关联”而不是“通过M影响Y”的强中介。机制结果若由文本变量构造而来，应持续声明其是机制解释证据，不是独立因果机制识别。</w:t>
      </w:r>
    </w:p>
    <w:p>
      <w:pPr>
        <w:spacing w:after="100" w:line="283" w:lineRule="auto"/>
      </w:pPr>
      <w:r>
        <w:rPr>
          <w:rFonts w:eastAsia="宋体"/>
        </w:rPr>
        <w:t>项目级 ML 扩展建议改为“治理辅助工具的外延分析”，正文只保留方法边界和核心性能结果。不要把它写成对主识别的补证，也不要在贡献排序中与省级面板识别并列。</w:t>
      </w:r>
    </w:p>
    <w:p>
      <w:pPr>
        <w:pStyle w:val="Heading1"/>
      </w:pPr>
      <w:r>
        <w:t>七、顶刊达标评估</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维度</w:t>
            </w:r>
          </w:p>
        </w:tc>
        <w:tc>
          <w:tcPr>
            <w:tcW w:type="dxa" w:w="1728"/>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等级</w:t>
            </w:r>
          </w:p>
        </w:tc>
        <w:tc>
          <w:tcPr>
            <w:tcW w:type="dxa" w:w="6768"/>
            <w:vAlign w:val="center"/>
            <w:tcMar>
              <w:top w:w="120" w:type="dxa"/>
              <w:start w:w="120" w:type="dxa"/>
              <w:bottom w:w="120" w:type="dxa"/>
              <w:end w:w="120" w:type="dxa"/>
            </w:tcMar>
            <w:shd w:fill="1F4E79"/>
          </w:tcPr>
          <w:p>
            <w:pPr>
              <w:spacing w:after="40" w:line="276" w:lineRule="auto"/>
              <w:jc w:val="center"/>
            </w:pPr>
            <w:r/>
            <w:r>
              <w:rPr>
                <w:b/>
                <w:color w:val="FFFFFF"/>
                <w:sz w:val="16"/>
                <w:rFonts w:eastAsia="宋体"/>
              </w:rPr>
              <w:t>判断依据</w:t>
            </w:r>
          </w:p>
        </w:tc>
      </w:tr>
      <w:tr>
        <w:tc>
          <w:tcPr>
            <w:tcW w:type="dxa" w:w="1728"/>
            <w:vAlign w:val="center"/>
            <w:tcMar>
              <w:top w:w="120" w:type="dxa"/>
              <w:start w:w="120" w:type="dxa"/>
              <w:bottom w:w="120" w:type="dxa"/>
              <w:end w:w="120" w:type="dxa"/>
            </w:tcMar>
            <w:shd w:fill="D9EAF7"/>
          </w:tcPr>
          <w:p>
            <w:pPr>
              <w:spacing w:after="40" w:line="276" w:lineRule="auto"/>
              <w:jc w:val="center"/>
            </w:pPr>
            <w:r/>
            <w:r>
              <w:rPr>
                <w:b w:val="0"/>
                <w:sz w:val="16"/>
                <w:rFonts w:eastAsia="宋体"/>
              </w:rPr>
              <w:t>研究问题</w:t>
            </w:r>
          </w:p>
        </w:tc>
        <w:tc>
          <w:tcPr>
            <w:tcW w:type="dxa" w:w="1728"/>
            <w:vAlign w:val="center"/>
            <w:tcMar>
              <w:top w:w="120" w:type="dxa"/>
              <w:start w:w="120" w:type="dxa"/>
              <w:bottom w:w="120" w:type="dxa"/>
              <w:end w:w="120" w:type="dxa"/>
            </w:tcMar>
          </w:tcPr>
          <w:p>
            <w:pPr>
              <w:spacing w:after="40" w:line="276" w:lineRule="auto"/>
              <w:jc w:val="center"/>
            </w:pPr>
            <w:r/>
            <w:r>
              <w:rPr>
                <w:b w:val="0"/>
                <w:sz w:val="16"/>
                <w:rFonts w:eastAsia="宋体"/>
              </w:rPr>
              <w:t>较好</w:t>
            </w:r>
          </w:p>
        </w:tc>
        <w:tc>
          <w:tcPr>
            <w:tcW w:type="dxa" w:w="6768"/>
            <w:vAlign w:val="center"/>
            <w:tcMar>
              <w:top w:w="120" w:type="dxa"/>
              <w:start w:w="120" w:type="dxa"/>
              <w:bottom w:w="120" w:type="dxa"/>
              <w:end w:w="120" w:type="dxa"/>
            </w:tcMar>
          </w:tcPr>
          <w:p>
            <w:pPr>
              <w:spacing w:after="40" w:line="276" w:lineRule="auto"/>
              <w:jc w:val="left"/>
            </w:pPr>
            <w:r/>
            <w:r>
              <w:rPr>
                <w:b w:val="0"/>
                <w:sz w:val="16"/>
                <w:rFonts w:eastAsia="宋体"/>
              </w:rPr>
              <w:t>问题已聚焦到 PPP 推进结构重组，有公共管理价值。</w:t>
            </w:r>
          </w:p>
        </w:tc>
      </w:tr>
      <w:tr>
        <w:tc>
          <w:tcPr>
            <w:tcW w:type="dxa" w:w="1728"/>
            <w:vAlign w:val="center"/>
            <w:tcMar>
              <w:top w:w="120" w:type="dxa"/>
              <w:start w:w="120" w:type="dxa"/>
              <w:bottom w:w="120" w:type="dxa"/>
              <w:end w:w="120" w:type="dxa"/>
            </w:tcMar>
            <w:shd w:fill="D9EAF7"/>
          </w:tcPr>
          <w:p>
            <w:pPr>
              <w:spacing w:after="40" w:line="276" w:lineRule="auto"/>
              <w:jc w:val="center"/>
            </w:pPr>
            <w:r/>
            <w:r>
              <w:rPr>
                <w:b w:val="0"/>
                <w:sz w:val="16"/>
                <w:rFonts w:eastAsia="宋体"/>
              </w:rPr>
              <w:t>理论机制</w:t>
            </w:r>
          </w:p>
        </w:tc>
        <w:tc>
          <w:tcPr>
            <w:tcW w:type="dxa" w:w="1728"/>
            <w:vAlign w:val="center"/>
            <w:tcMar>
              <w:top w:w="120" w:type="dxa"/>
              <w:start w:w="120" w:type="dxa"/>
              <w:bottom w:w="120" w:type="dxa"/>
              <w:end w:w="120" w:type="dxa"/>
            </w:tcMar>
          </w:tcPr>
          <w:p>
            <w:pPr>
              <w:spacing w:after="40" w:line="276" w:lineRule="auto"/>
              <w:jc w:val="center"/>
            </w:pPr>
            <w:r/>
            <w:r>
              <w:rPr>
                <w:b w:val="0"/>
                <w:sz w:val="16"/>
                <w:rFonts w:eastAsia="宋体"/>
              </w:rPr>
              <w:t>较好但需收束</w:t>
            </w:r>
          </w:p>
        </w:tc>
        <w:tc>
          <w:tcPr>
            <w:tcW w:type="dxa" w:w="6768"/>
            <w:vAlign w:val="center"/>
            <w:tcMar>
              <w:top w:w="120" w:type="dxa"/>
              <w:start w:w="120" w:type="dxa"/>
              <w:bottom w:w="120" w:type="dxa"/>
              <w:end w:w="120" w:type="dxa"/>
            </w:tcMar>
          </w:tcPr>
          <w:p>
            <w:pPr>
              <w:spacing w:after="40" w:line="276" w:lineRule="auto"/>
              <w:jc w:val="left"/>
            </w:pPr>
            <w:r/>
            <w:r>
              <w:rPr>
                <w:b w:val="0"/>
                <w:sz w:val="16"/>
                <w:rFonts w:eastAsia="宋体"/>
              </w:rPr>
              <w:t>主线基本成立，但机制证据只能支持关联解释。</w:t>
            </w:r>
          </w:p>
        </w:tc>
      </w:tr>
      <w:tr>
        <w:tc>
          <w:tcPr>
            <w:tcW w:type="dxa" w:w="1728"/>
            <w:vAlign w:val="center"/>
            <w:tcMar>
              <w:top w:w="120" w:type="dxa"/>
              <w:start w:w="120" w:type="dxa"/>
              <w:bottom w:w="120" w:type="dxa"/>
              <w:end w:w="120" w:type="dxa"/>
            </w:tcMar>
            <w:shd w:fill="D9EAF7"/>
          </w:tcPr>
          <w:p>
            <w:pPr>
              <w:spacing w:after="40" w:line="276" w:lineRule="auto"/>
              <w:jc w:val="center"/>
            </w:pPr>
            <w:r/>
            <w:r>
              <w:rPr>
                <w:b w:val="0"/>
                <w:sz w:val="16"/>
                <w:rFonts w:eastAsia="宋体"/>
              </w:rPr>
              <w:t>数据透明度</w:t>
            </w:r>
          </w:p>
        </w:tc>
        <w:tc>
          <w:tcPr>
            <w:tcW w:type="dxa" w:w="1728"/>
            <w:vAlign w:val="center"/>
            <w:tcMar>
              <w:top w:w="120" w:type="dxa"/>
              <w:start w:w="120" w:type="dxa"/>
              <w:bottom w:w="120" w:type="dxa"/>
              <w:end w:w="120" w:type="dxa"/>
            </w:tcMar>
          </w:tcPr>
          <w:p>
            <w:pPr>
              <w:spacing w:after="40" w:line="276" w:lineRule="auto"/>
              <w:jc w:val="center"/>
            </w:pPr>
            <w:r/>
            <w:r>
              <w:rPr>
                <w:b w:val="0"/>
                <w:sz w:val="16"/>
                <w:rFonts w:eastAsia="宋体"/>
              </w:rPr>
              <w:t>一般</w:t>
            </w:r>
          </w:p>
        </w:tc>
        <w:tc>
          <w:tcPr>
            <w:tcW w:type="dxa" w:w="6768"/>
            <w:vAlign w:val="center"/>
            <w:tcMar>
              <w:top w:w="120" w:type="dxa"/>
              <w:start w:w="120" w:type="dxa"/>
              <w:bottom w:w="120" w:type="dxa"/>
              <w:end w:w="120" w:type="dxa"/>
            </w:tcMar>
          </w:tcPr>
          <w:p>
            <w:pPr>
              <w:spacing w:after="40" w:line="276" w:lineRule="auto"/>
              <w:jc w:val="left"/>
            </w:pPr>
            <w:r/>
            <w:r>
              <w:rPr>
                <w:b w:val="0"/>
                <w:sz w:val="16"/>
                <w:rFonts w:eastAsia="宋体"/>
              </w:rPr>
              <w:t>样本链条有进步，但核心处理变量和删样规则仍需附录化。</w:t>
            </w:r>
          </w:p>
        </w:tc>
      </w:tr>
      <w:tr>
        <w:tc>
          <w:tcPr>
            <w:tcW w:type="dxa" w:w="1728"/>
            <w:vAlign w:val="center"/>
            <w:tcMar>
              <w:top w:w="120" w:type="dxa"/>
              <w:start w:w="120" w:type="dxa"/>
              <w:bottom w:w="120" w:type="dxa"/>
              <w:end w:w="120" w:type="dxa"/>
            </w:tcMar>
            <w:shd w:fill="D9EAF7"/>
          </w:tcPr>
          <w:p>
            <w:pPr>
              <w:spacing w:after="40" w:line="276" w:lineRule="auto"/>
              <w:jc w:val="center"/>
            </w:pPr>
            <w:r/>
            <w:r>
              <w:rPr>
                <w:b w:val="0"/>
                <w:sz w:val="16"/>
                <w:rFonts w:eastAsia="宋体"/>
              </w:rPr>
              <w:t>模型适配性</w:t>
            </w:r>
          </w:p>
        </w:tc>
        <w:tc>
          <w:tcPr>
            <w:tcW w:type="dxa" w:w="1728"/>
            <w:vAlign w:val="center"/>
            <w:tcMar>
              <w:top w:w="120" w:type="dxa"/>
              <w:start w:w="120" w:type="dxa"/>
              <w:bottom w:w="120" w:type="dxa"/>
              <w:end w:w="120" w:type="dxa"/>
            </w:tcMar>
          </w:tcPr>
          <w:p>
            <w:pPr>
              <w:spacing w:after="40" w:line="276" w:lineRule="auto"/>
              <w:jc w:val="center"/>
            </w:pPr>
            <w:r/>
            <w:r>
              <w:rPr>
                <w:b w:val="0"/>
                <w:sz w:val="16"/>
                <w:rFonts w:eastAsia="宋体"/>
              </w:rPr>
              <w:t>一般偏弱</w:t>
            </w:r>
          </w:p>
        </w:tc>
        <w:tc>
          <w:tcPr>
            <w:tcW w:type="dxa" w:w="6768"/>
            <w:vAlign w:val="center"/>
            <w:tcMar>
              <w:top w:w="120" w:type="dxa"/>
              <w:start w:w="120" w:type="dxa"/>
              <w:bottom w:w="120" w:type="dxa"/>
              <w:end w:w="120" w:type="dxa"/>
            </w:tcMar>
          </w:tcPr>
          <w:p>
            <w:pPr>
              <w:spacing w:after="40" w:line="276" w:lineRule="auto"/>
              <w:jc w:val="left"/>
            </w:pPr>
            <w:r/>
            <w:r>
              <w:rPr>
                <w:b w:val="0"/>
                <w:sz w:val="16"/>
                <w:rFonts w:eastAsia="宋体"/>
              </w:rPr>
              <w:t>TWFE连续处理可作关联估计，但强因果识别不足。</w:t>
            </w:r>
          </w:p>
        </w:tc>
      </w:tr>
      <w:tr>
        <w:tc>
          <w:tcPr>
            <w:tcW w:type="dxa" w:w="1728"/>
            <w:vAlign w:val="center"/>
            <w:tcMar>
              <w:top w:w="120" w:type="dxa"/>
              <w:start w:w="120" w:type="dxa"/>
              <w:bottom w:w="120" w:type="dxa"/>
              <w:end w:w="120" w:type="dxa"/>
            </w:tcMar>
            <w:shd w:fill="D9EAF7"/>
          </w:tcPr>
          <w:p>
            <w:pPr>
              <w:spacing w:after="40" w:line="276" w:lineRule="auto"/>
              <w:jc w:val="center"/>
            </w:pPr>
            <w:r/>
            <w:r>
              <w:rPr>
                <w:b w:val="0"/>
                <w:sz w:val="16"/>
                <w:rFonts w:eastAsia="宋体"/>
              </w:rPr>
              <w:t>结果解释</w:t>
            </w:r>
          </w:p>
        </w:tc>
        <w:tc>
          <w:tcPr>
            <w:tcW w:type="dxa" w:w="1728"/>
            <w:vAlign w:val="center"/>
            <w:tcMar>
              <w:top w:w="120" w:type="dxa"/>
              <w:start w:w="120" w:type="dxa"/>
              <w:bottom w:w="120" w:type="dxa"/>
              <w:end w:w="120" w:type="dxa"/>
            </w:tcMar>
          </w:tcPr>
          <w:p>
            <w:pPr>
              <w:spacing w:after="40" w:line="276" w:lineRule="auto"/>
              <w:jc w:val="center"/>
            </w:pPr>
            <w:r/>
            <w:r>
              <w:rPr>
                <w:b w:val="0"/>
                <w:sz w:val="16"/>
                <w:rFonts w:eastAsia="宋体"/>
              </w:rPr>
              <w:t>较好但仍需降调</w:t>
            </w:r>
          </w:p>
        </w:tc>
        <w:tc>
          <w:tcPr>
            <w:tcW w:type="dxa" w:w="6768"/>
            <w:vAlign w:val="center"/>
            <w:tcMar>
              <w:top w:w="120" w:type="dxa"/>
              <w:start w:w="120" w:type="dxa"/>
              <w:bottom w:w="120" w:type="dxa"/>
              <w:end w:w="120" w:type="dxa"/>
            </w:tcMar>
          </w:tcPr>
          <w:p>
            <w:pPr>
              <w:spacing w:after="40" w:line="276" w:lineRule="auto"/>
              <w:jc w:val="left"/>
            </w:pPr>
            <w:r/>
            <w:r>
              <w:rPr>
                <w:b w:val="0"/>
                <w:sz w:val="16"/>
                <w:rFonts w:eastAsia="宋体"/>
              </w:rPr>
              <w:t>已承认边界，但应进一步把防守检验置于中心。</w:t>
            </w:r>
          </w:p>
        </w:tc>
      </w:tr>
      <w:tr>
        <w:tc>
          <w:tcPr>
            <w:tcW w:type="dxa" w:w="1728"/>
            <w:vAlign w:val="center"/>
            <w:tcMar>
              <w:top w:w="120" w:type="dxa"/>
              <w:start w:w="120" w:type="dxa"/>
              <w:bottom w:w="120" w:type="dxa"/>
              <w:end w:w="120" w:type="dxa"/>
            </w:tcMar>
            <w:shd w:fill="D9EAF7"/>
          </w:tcPr>
          <w:p>
            <w:pPr>
              <w:spacing w:after="40" w:line="276" w:lineRule="auto"/>
              <w:jc w:val="center"/>
            </w:pPr>
            <w:r/>
            <w:r>
              <w:rPr>
                <w:b w:val="0"/>
                <w:sz w:val="16"/>
                <w:rFonts w:eastAsia="宋体"/>
              </w:rPr>
              <w:t>创新贡献</w:t>
            </w:r>
          </w:p>
        </w:tc>
        <w:tc>
          <w:tcPr>
            <w:tcW w:type="dxa" w:w="1728"/>
            <w:vAlign w:val="center"/>
            <w:tcMar>
              <w:top w:w="120" w:type="dxa"/>
              <w:start w:w="120" w:type="dxa"/>
              <w:bottom w:w="120" w:type="dxa"/>
              <w:end w:w="120" w:type="dxa"/>
            </w:tcMar>
          </w:tcPr>
          <w:p>
            <w:pPr>
              <w:spacing w:after="40" w:line="276" w:lineRule="auto"/>
              <w:jc w:val="center"/>
            </w:pPr>
            <w:r/>
            <w:r>
              <w:rPr>
                <w:b w:val="0"/>
                <w:sz w:val="16"/>
                <w:rFonts w:eastAsia="宋体"/>
              </w:rPr>
              <w:t>较好</w:t>
            </w:r>
          </w:p>
        </w:tc>
        <w:tc>
          <w:tcPr>
            <w:tcW w:type="dxa" w:w="6768"/>
            <w:vAlign w:val="center"/>
            <w:tcMar>
              <w:top w:w="120" w:type="dxa"/>
              <w:start w:w="120" w:type="dxa"/>
              <w:bottom w:w="120" w:type="dxa"/>
              <w:end w:w="120" w:type="dxa"/>
            </w:tcMar>
          </w:tcPr>
          <w:p>
            <w:pPr>
              <w:spacing w:after="40" w:line="276" w:lineRule="auto"/>
              <w:jc w:val="left"/>
            </w:pPr>
            <w:r/>
            <w:r>
              <w:rPr>
                <w:b w:val="0"/>
                <w:sz w:val="16"/>
                <w:rFonts w:eastAsia="宋体"/>
              </w:rPr>
              <w:t>“政策文本变量工程 + PPP治理过程”有新意。</w:t>
            </w:r>
          </w:p>
        </w:tc>
      </w:tr>
      <w:tr>
        <w:tc>
          <w:tcPr>
            <w:tcW w:type="dxa" w:w="1728"/>
            <w:vAlign w:val="center"/>
            <w:tcMar>
              <w:top w:w="120" w:type="dxa"/>
              <w:start w:w="120" w:type="dxa"/>
              <w:bottom w:w="120" w:type="dxa"/>
              <w:end w:w="120" w:type="dxa"/>
            </w:tcMar>
            <w:shd w:fill="D9EAF7"/>
          </w:tcPr>
          <w:p>
            <w:pPr>
              <w:spacing w:after="40" w:line="276" w:lineRule="auto"/>
              <w:jc w:val="center"/>
            </w:pPr>
            <w:r/>
            <w:r>
              <w:rPr>
                <w:b w:val="0"/>
                <w:sz w:val="16"/>
                <w:rFonts w:eastAsia="宋体"/>
              </w:rPr>
              <w:t>顶刊投稿潜力</w:t>
            </w:r>
          </w:p>
        </w:tc>
        <w:tc>
          <w:tcPr>
            <w:tcW w:type="dxa" w:w="1728"/>
            <w:vAlign w:val="center"/>
            <w:tcMar>
              <w:top w:w="120" w:type="dxa"/>
              <w:start w:w="120" w:type="dxa"/>
              <w:bottom w:w="120" w:type="dxa"/>
              <w:end w:w="120" w:type="dxa"/>
            </w:tcMar>
          </w:tcPr>
          <w:p>
            <w:pPr>
              <w:spacing w:after="40" w:line="276" w:lineRule="auto"/>
              <w:jc w:val="center"/>
            </w:pPr>
            <w:r/>
            <w:r>
              <w:rPr>
                <w:b w:val="0"/>
                <w:sz w:val="16"/>
                <w:rFonts w:eastAsia="宋体"/>
              </w:rPr>
              <w:t>暂未达标</w:t>
            </w:r>
          </w:p>
        </w:tc>
        <w:tc>
          <w:tcPr>
            <w:tcW w:type="dxa" w:w="6768"/>
            <w:vAlign w:val="center"/>
            <w:tcMar>
              <w:top w:w="120" w:type="dxa"/>
              <w:start w:w="120" w:type="dxa"/>
              <w:bottom w:w="120" w:type="dxa"/>
              <w:end w:w="120" w:type="dxa"/>
            </w:tcMar>
          </w:tcPr>
          <w:p>
            <w:pPr>
              <w:spacing w:after="40" w:line="276" w:lineRule="auto"/>
              <w:jc w:val="left"/>
            </w:pPr>
            <w:r/>
            <w:r>
              <w:rPr>
                <w:b w:val="0"/>
                <w:sz w:val="16"/>
                <w:rFonts w:eastAsia="宋体"/>
              </w:rPr>
              <w:t>完成 A 类方法补强后，可考虑冲击较好CSSCI；顶刊仍需强识别或极强理论贡献。</w:t>
            </w:r>
          </w:p>
        </w:tc>
      </w:tr>
      <w:tr>
        <w:tc>
          <w:tcPr>
            <w:tcW w:type="dxa" w:w="1728"/>
            <w:vAlign w:val="center"/>
            <w:tcMar>
              <w:top w:w="120" w:type="dxa"/>
              <w:start w:w="120" w:type="dxa"/>
              <w:bottom w:w="120" w:type="dxa"/>
              <w:end w:w="120" w:type="dxa"/>
            </w:tcMar>
            <w:shd w:fill="D9EAF7"/>
          </w:tcPr>
          <w:p>
            <w:pPr>
              <w:spacing w:after="40" w:line="276" w:lineRule="auto"/>
              <w:jc w:val="center"/>
            </w:pPr>
            <w:r/>
            <w:r>
              <w:rPr>
                <w:b w:val="0"/>
                <w:sz w:val="16"/>
                <w:rFonts w:eastAsia="宋体"/>
              </w:rPr>
              <w:t>综合等级</w:t>
            </w:r>
          </w:p>
        </w:tc>
        <w:tc>
          <w:tcPr>
            <w:tcW w:type="dxa" w:w="1728"/>
            <w:vAlign w:val="center"/>
            <w:tcMar>
              <w:top w:w="120" w:type="dxa"/>
              <w:start w:w="120" w:type="dxa"/>
              <w:bottom w:w="120" w:type="dxa"/>
              <w:end w:w="120" w:type="dxa"/>
            </w:tcMar>
          </w:tcPr>
          <w:p>
            <w:pPr>
              <w:spacing w:after="40" w:line="276" w:lineRule="auto"/>
              <w:jc w:val="center"/>
            </w:pPr>
            <w:r/>
            <w:r>
              <w:rPr>
                <w:b w:val="0"/>
                <w:sz w:val="16"/>
                <w:rFonts w:eastAsia="宋体"/>
              </w:rPr>
              <w:t>较好/大修后再评估</w:t>
            </w:r>
          </w:p>
        </w:tc>
        <w:tc>
          <w:tcPr>
            <w:tcW w:type="dxa" w:w="6768"/>
            <w:vAlign w:val="center"/>
            <w:tcMar>
              <w:top w:w="120" w:type="dxa"/>
              <w:start w:w="120" w:type="dxa"/>
              <w:bottom w:w="120" w:type="dxa"/>
              <w:end w:w="120" w:type="dxa"/>
            </w:tcMar>
          </w:tcPr>
          <w:p>
            <w:pPr>
              <w:spacing w:after="40" w:line="276" w:lineRule="auto"/>
              <w:jc w:val="left"/>
            </w:pPr>
            <w:r/>
            <w:r>
              <w:rPr>
                <w:b w:val="0"/>
                <w:sz w:val="16"/>
                <w:rFonts w:eastAsia="宋体"/>
              </w:rPr>
              <w:t>不是需要重构，但还不是可直接投稿状态。</w:t>
            </w:r>
          </w:p>
        </w:tc>
      </w:tr>
    </w:tbl>
    <w:p/>
    <w:p>
      <w:pPr>
        <w:pStyle w:val="Heading1"/>
      </w:pPr>
      <w:r>
        <w:t>八、最终修改优先级</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936"/>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优先级</w:t>
            </w:r>
          </w:p>
        </w:tc>
        <w:tc>
          <w:tcPr>
            <w:tcW w:type="dxa" w:w="2088"/>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修改任务</w:t>
            </w:r>
          </w:p>
        </w:tc>
        <w:tc>
          <w:tcPr>
            <w:tcW w:type="dxa" w:w="2592"/>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为什么重要</w:t>
            </w:r>
          </w:p>
        </w:tc>
        <w:tc>
          <w:tcPr>
            <w:tcW w:type="dxa" w:w="3168"/>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怎么改</w:t>
            </w:r>
          </w:p>
        </w:tc>
        <w:tc>
          <w:tcPr>
            <w:tcW w:type="dxa" w:w="2448"/>
            <w:vAlign w:val="center"/>
            <w:tcMar>
              <w:top w:w="120" w:type="dxa"/>
              <w:start w:w="120" w:type="dxa"/>
              <w:bottom w:w="120" w:type="dxa"/>
              <w:end w:w="120" w:type="dxa"/>
            </w:tcMar>
            <w:shd w:fill="1F4E79"/>
          </w:tcPr>
          <w:p>
            <w:pPr>
              <w:spacing w:after="40" w:line="276" w:lineRule="auto"/>
              <w:jc w:val="center"/>
            </w:pPr>
            <w:r/>
            <w:r>
              <w:rPr>
                <w:b/>
                <w:color w:val="FFFFFF"/>
                <w:sz w:val="15"/>
                <w:rFonts w:eastAsia="宋体"/>
              </w:rPr>
              <w:t>完成标准</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A</w:t>
            </w:r>
          </w:p>
        </w:tc>
        <w:tc>
          <w:tcPr>
            <w:tcW w:type="dxa" w:w="2088"/>
            <w:vAlign w:val="center"/>
            <w:tcMar>
              <w:top w:w="120" w:type="dxa"/>
              <w:start w:w="120" w:type="dxa"/>
              <w:bottom w:w="120" w:type="dxa"/>
              <w:end w:w="120" w:type="dxa"/>
            </w:tcMar>
          </w:tcPr>
          <w:p>
            <w:pPr>
              <w:spacing w:after="40" w:line="276" w:lineRule="auto"/>
              <w:jc w:val="left"/>
            </w:pPr>
            <w:r/>
            <w:r>
              <w:rPr>
                <w:b w:val="0"/>
                <w:sz w:val="15"/>
                <w:rFonts w:eastAsia="宋体"/>
              </w:rPr>
              <w:t>补 treat_share 构造附录</w:t>
            </w:r>
          </w:p>
        </w:tc>
        <w:tc>
          <w:tcPr>
            <w:tcW w:type="dxa" w:w="2592"/>
            <w:vAlign w:val="center"/>
            <w:tcMar>
              <w:top w:w="120" w:type="dxa"/>
              <w:start w:w="120" w:type="dxa"/>
              <w:bottom w:w="120" w:type="dxa"/>
              <w:end w:w="120" w:type="dxa"/>
            </w:tcMar>
          </w:tcPr>
          <w:p>
            <w:pPr>
              <w:spacing w:after="40" w:line="276" w:lineRule="auto"/>
              <w:jc w:val="left"/>
            </w:pPr>
            <w:r/>
            <w:r>
              <w:rPr>
                <w:b w:val="0"/>
                <w:sz w:val="15"/>
                <w:rFonts w:eastAsia="宋体"/>
              </w:rPr>
              <w:t>核心解释变量不可复核会直接影响论文成立</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列城市名单、处理年份、判定规则、数据来源、公式、阈值</w:t>
            </w:r>
          </w:p>
        </w:tc>
        <w:tc>
          <w:tcPr>
            <w:tcW w:type="dxa" w:w="2448"/>
            <w:vAlign w:val="center"/>
            <w:tcMar>
              <w:top w:w="120" w:type="dxa"/>
              <w:start w:w="120" w:type="dxa"/>
              <w:bottom w:w="120" w:type="dxa"/>
              <w:end w:w="120" w:type="dxa"/>
            </w:tcMar>
          </w:tcPr>
          <w:p>
            <w:pPr>
              <w:spacing w:after="40" w:line="276" w:lineRule="auto"/>
              <w:jc w:val="left"/>
            </w:pPr>
            <w:r/>
            <w:r>
              <w:rPr>
                <w:b w:val="0"/>
                <w:sz w:val="15"/>
                <w:rFonts w:eastAsia="宋体"/>
              </w:rPr>
              <w:t>审稿人可复现每个省年 treat_share</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A</w:t>
            </w:r>
          </w:p>
        </w:tc>
        <w:tc>
          <w:tcPr>
            <w:tcW w:type="dxa" w:w="2088"/>
            <w:vAlign w:val="center"/>
            <w:tcMar>
              <w:top w:w="120" w:type="dxa"/>
              <w:start w:w="120" w:type="dxa"/>
              <w:bottom w:w="120" w:type="dxa"/>
              <w:end w:w="120" w:type="dxa"/>
            </w:tcMar>
          </w:tcPr>
          <w:p>
            <w:pPr>
              <w:spacing w:after="40" w:line="276" w:lineRule="auto"/>
              <w:jc w:val="left"/>
            </w:pPr>
            <w:r/>
            <w:r>
              <w:rPr>
                <w:b w:val="0"/>
                <w:sz w:val="15"/>
                <w:rFonts w:eastAsia="宋体"/>
              </w:rPr>
              <w:t>将 log-ratio 提升为主结果之一</w:t>
            </w:r>
          </w:p>
        </w:tc>
        <w:tc>
          <w:tcPr>
            <w:tcW w:type="dxa" w:w="2592"/>
            <w:vAlign w:val="center"/>
            <w:tcMar>
              <w:top w:w="120" w:type="dxa"/>
              <w:start w:w="120" w:type="dxa"/>
              <w:bottom w:w="120" w:type="dxa"/>
              <w:end w:w="120" w:type="dxa"/>
            </w:tcMar>
          </w:tcPr>
          <w:p>
            <w:pPr>
              <w:spacing w:after="40" w:line="276" w:lineRule="auto"/>
              <w:jc w:val="left"/>
            </w:pPr>
            <w:r/>
            <w:r>
              <w:rPr>
                <w:b w:val="0"/>
                <w:sz w:val="15"/>
                <w:rFonts w:eastAsia="宋体"/>
              </w:rPr>
              <w:t>解决份额型因变量加总约束</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把 log((exec+c)/(proc+c)) 放入基准结果表或紧随基准表</w:t>
            </w:r>
          </w:p>
        </w:tc>
        <w:tc>
          <w:tcPr>
            <w:tcW w:type="dxa" w:w="2448"/>
            <w:vAlign w:val="center"/>
            <w:tcMar>
              <w:top w:w="120" w:type="dxa"/>
              <w:start w:w="120" w:type="dxa"/>
              <w:bottom w:w="120" w:type="dxa"/>
              <w:end w:w="120" w:type="dxa"/>
            </w:tcMar>
          </w:tcPr>
          <w:p>
            <w:pPr>
              <w:spacing w:after="40" w:line="276" w:lineRule="auto"/>
              <w:jc w:val="left"/>
            </w:pPr>
            <w:r/>
            <w:r>
              <w:rPr>
                <w:b w:val="0"/>
                <w:sz w:val="15"/>
                <w:rFonts w:eastAsia="宋体"/>
              </w:rPr>
              <w:t>H1、模型和结果解释一致</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A</w:t>
            </w:r>
          </w:p>
        </w:tc>
        <w:tc>
          <w:tcPr>
            <w:tcW w:type="dxa" w:w="2088"/>
            <w:vAlign w:val="center"/>
            <w:tcMar>
              <w:top w:w="120" w:type="dxa"/>
              <w:start w:w="120" w:type="dxa"/>
              <w:bottom w:w="120" w:type="dxa"/>
              <w:end w:w="120" w:type="dxa"/>
            </w:tcMar>
          </w:tcPr>
          <w:p>
            <w:pPr>
              <w:spacing w:after="40" w:line="276" w:lineRule="auto"/>
              <w:jc w:val="center"/>
            </w:pPr>
            <w:r/>
            <w:r>
              <w:rPr>
                <w:b w:val="0"/>
                <w:sz w:val="15"/>
                <w:rFonts w:eastAsia="宋体"/>
              </w:rPr>
              <w:t>重写识别语言</w:t>
            </w:r>
          </w:p>
        </w:tc>
        <w:tc>
          <w:tcPr>
            <w:tcW w:type="dxa" w:w="2592"/>
            <w:vAlign w:val="center"/>
            <w:tcMar>
              <w:top w:w="120" w:type="dxa"/>
              <w:start w:w="120" w:type="dxa"/>
              <w:bottom w:w="120" w:type="dxa"/>
              <w:end w:w="120" w:type="dxa"/>
            </w:tcMar>
          </w:tcPr>
          <w:p>
            <w:pPr>
              <w:spacing w:after="40" w:line="276" w:lineRule="auto"/>
              <w:jc w:val="center"/>
            </w:pPr>
            <w:r/>
            <w:r>
              <w:rPr>
                <w:b w:val="0"/>
                <w:sz w:val="15"/>
                <w:rFonts w:eastAsia="宋体"/>
              </w:rPr>
              <w:t>现有设计不支持强因果</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全文统一为“条件关联/方向性证据”，或补更强 DID 估计</w:t>
            </w:r>
          </w:p>
        </w:tc>
        <w:tc>
          <w:tcPr>
            <w:tcW w:type="dxa" w:w="2448"/>
            <w:vAlign w:val="center"/>
            <w:tcMar>
              <w:top w:w="120" w:type="dxa"/>
              <w:start w:w="120" w:type="dxa"/>
              <w:bottom w:w="120" w:type="dxa"/>
              <w:end w:w="120" w:type="dxa"/>
            </w:tcMar>
          </w:tcPr>
          <w:p>
            <w:pPr>
              <w:spacing w:after="40" w:line="276" w:lineRule="auto"/>
              <w:jc w:val="left"/>
            </w:pPr>
            <w:r/>
            <w:r>
              <w:rPr>
                <w:b w:val="0"/>
                <w:sz w:val="15"/>
                <w:rFonts w:eastAsia="宋体"/>
              </w:rPr>
              <w:t>摘要、5.2、结论不再出现强因果口径</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A</w:t>
            </w:r>
          </w:p>
        </w:tc>
        <w:tc>
          <w:tcPr>
            <w:tcW w:type="dxa" w:w="2088"/>
            <w:vAlign w:val="center"/>
            <w:tcMar>
              <w:top w:w="120" w:type="dxa"/>
              <w:start w:w="120" w:type="dxa"/>
              <w:bottom w:w="120" w:type="dxa"/>
              <w:end w:w="120" w:type="dxa"/>
            </w:tcMar>
          </w:tcPr>
          <w:p>
            <w:pPr>
              <w:spacing w:after="40" w:line="276" w:lineRule="auto"/>
              <w:jc w:val="center"/>
            </w:pPr>
            <w:r/>
            <w:r>
              <w:rPr>
                <w:b w:val="0"/>
                <w:sz w:val="15"/>
                <w:rFonts w:eastAsia="宋体"/>
              </w:rPr>
              <w:t>完整附录回归表</w:t>
            </w:r>
          </w:p>
        </w:tc>
        <w:tc>
          <w:tcPr>
            <w:tcW w:type="dxa" w:w="2592"/>
            <w:vAlign w:val="center"/>
            <w:tcMar>
              <w:top w:w="120" w:type="dxa"/>
              <w:start w:w="120" w:type="dxa"/>
              <w:bottom w:w="120" w:type="dxa"/>
              <w:end w:w="120" w:type="dxa"/>
            </w:tcMar>
          </w:tcPr>
          <w:p>
            <w:pPr>
              <w:spacing w:after="40" w:line="276" w:lineRule="auto"/>
              <w:jc w:val="left"/>
            </w:pPr>
            <w:r/>
            <w:r>
              <w:rPr>
                <w:b w:val="0"/>
                <w:sz w:val="15"/>
                <w:rFonts w:eastAsia="宋体"/>
              </w:rPr>
              <w:t>摘要表不足以通过匿名审稿复核</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机制、异质性、稳健性全部给系数、SE、p、FE、N、R²</w:t>
            </w:r>
          </w:p>
        </w:tc>
        <w:tc>
          <w:tcPr>
            <w:tcW w:type="dxa" w:w="2448"/>
            <w:vAlign w:val="center"/>
            <w:tcMar>
              <w:top w:w="120" w:type="dxa"/>
              <w:start w:w="120" w:type="dxa"/>
              <w:bottom w:w="120" w:type="dxa"/>
              <w:end w:w="120" w:type="dxa"/>
            </w:tcMar>
          </w:tcPr>
          <w:p>
            <w:pPr>
              <w:spacing w:after="40" w:line="276" w:lineRule="auto"/>
              <w:jc w:val="left"/>
            </w:pPr>
            <w:r/>
            <w:r>
              <w:rPr>
                <w:b w:val="0"/>
                <w:sz w:val="15"/>
                <w:rFonts w:eastAsia="宋体"/>
              </w:rPr>
              <w:t>每个结论都有完整表格支撑</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A</w:t>
            </w:r>
          </w:p>
        </w:tc>
        <w:tc>
          <w:tcPr>
            <w:tcW w:type="dxa" w:w="2088"/>
            <w:vAlign w:val="center"/>
            <w:tcMar>
              <w:top w:w="120" w:type="dxa"/>
              <w:start w:w="120" w:type="dxa"/>
              <w:bottom w:w="120" w:type="dxa"/>
              <w:end w:w="120" w:type="dxa"/>
            </w:tcMar>
          </w:tcPr>
          <w:p>
            <w:pPr>
              <w:spacing w:after="40" w:line="276" w:lineRule="auto"/>
              <w:jc w:val="center"/>
            </w:pPr>
            <w:r/>
            <w:r>
              <w:rPr>
                <w:b w:val="0"/>
                <w:sz w:val="15"/>
                <w:rFonts w:eastAsia="宋体"/>
              </w:rPr>
              <w:t>处理动态结果压力</w:t>
            </w:r>
          </w:p>
        </w:tc>
        <w:tc>
          <w:tcPr>
            <w:tcW w:type="dxa" w:w="2592"/>
            <w:vAlign w:val="center"/>
            <w:tcMar>
              <w:top w:w="120" w:type="dxa"/>
              <w:start w:w="120" w:type="dxa"/>
              <w:bottom w:w="120" w:type="dxa"/>
              <w:end w:w="120" w:type="dxa"/>
            </w:tcMar>
          </w:tcPr>
          <w:p>
            <w:pPr>
              <w:spacing w:after="40" w:line="276" w:lineRule="auto"/>
              <w:jc w:val="left"/>
            </w:pPr>
            <w:r/>
            <w:r>
              <w:rPr>
                <w:b w:val="0"/>
                <w:sz w:val="15"/>
                <w:rFonts w:eastAsia="宋体"/>
              </w:rPr>
              <w:t>事件研究不是支持证据而是边界证据</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把“处理前显著、后续反向波动”写入主文核心解释</w:t>
            </w:r>
          </w:p>
        </w:tc>
        <w:tc>
          <w:tcPr>
            <w:tcW w:type="dxa" w:w="2448"/>
            <w:vAlign w:val="center"/>
            <w:tcMar>
              <w:top w:w="120" w:type="dxa"/>
              <w:start w:w="120" w:type="dxa"/>
              <w:bottom w:w="120" w:type="dxa"/>
              <w:end w:w="120" w:type="dxa"/>
            </w:tcMar>
          </w:tcPr>
          <w:p>
            <w:pPr>
              <w:spacing w:after="40" w:line="276" w:lineRule="auto"/>
              <w:jc w:val="left"/>
            </w:pPr>
            <w:r/>
            <w:r>
              <w:rPr>
                <w:b w:val="0"/>
                <w:sz w:val="15"/>
                <w:rFonts w:eastAsia="宋体"/>
              </w:rPr>
              <w:t>不再叙述为持续改善或逐步释放</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B</w:t>
            </w:r>
          </w:p>
        </w:tc>
        <w:tc>
          <w:tcPr>
            <w:tcW w:type="dxa" w:w="2088"/>
            <w:vAlign w:val="center"/>
            <w:tcMar>
              <w:top w:w="120" w:type="dxa"/>
              <w:start w:w="120" w:type="dxa"/>
              <w:bottom w:w="120" w:type="dxa"/>
              <w:end w:w="120" w:type="dxa"/>
            </w:tcMar>
          </w:tcPr>
          <w:p>
            <w:pPr>
              <w:spacing w:after="40" w:line="276" w:lineRule="auto"/>
              <w:jc w:val="center"/>
            </w:pPr>
            <w:r/>
            <w:r>
              <w:rPr>
                <w:b w:val="0"/>
                <w:sz w:val="15"/>
                <w:rFonts w:eastAsia="宋体"/>
              </w:rPr>
              <w:t>补机制变量同源性说明</w:t>
            </w:r>
          </w:p>
        </w:tc>
        <w:tc>
          <w:tcPr>
            <w:tcW w:type="dxa" w:w="2592"/>
            <w:vAlign w:val="center"/>
            <w:tcMar>
              <w:top w:w="120" w:type="dxa"/>
              <w:start w:w="120" w:type="dxa"/>
              <w:bottom w:w="120" w:type="dxa"/>
              <w:end w:w="120" w:type="dxa"/>
            </w:tcMar>
          </w:tcPr>
          <w:p>
            <w:pPr>
              <w:spacing w:after="40" w:line="276" w:lineRule="auto"/>
              <w:jc w:val="left"/>
            </w:pPr>
            <w:r/>
            <w:r>
              <w:rPr>
                <w:b w:val="0"/>
                <w:sz w:val="15"/>
                <w:rFonts w:eastAsia="宋体"/>
              </w:rPr>
              <w:t>防止机制检验被认为自证循环</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补互斥词典、leave-one-topic-out 或变量去重说明</w:t>
            </w:r>
          </w:p>
        </w:tc>
        <w:tc>
          <w:tcPr>
            <w:tcW w:type="dxa" w:w="2448"/>
            <w:vAlign w:val="center"/>
            <w:tcMar>
              <w:top w:w="120" w:type="dxa"/>
              <w:start w:w="120" w:type="dxa"/>
              <w:bottom w:w="120" w:type="dxa"/>
              <w:end w:w="120" w:type="dxa"/>
            </w:tcMar>
          </w:tcPr>
          <w:p>
            <w:pPr>
              <w:spacing w:after="40" w:line="276" w:lineRule="auto"/>
              <w:jc w:val="center"/>
            </w:pPr>
            <w:r/>
            <w:r>
              <w:rPr>
                <w:b w:val="0"/>
                <w:sz w:val="15"/>
                <w:rFonts w:eastAsia="宋体"/>
              </w:rPr>
              <w:t>机制证据独立性更强</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B</w:t>
            </w:r>
          </w:p>
        </w:tc>
        <w:tc>
          <w:tcPr>
            <w:tcW w:type="dxa" w:w="2088"/>
            <w:vAlign w:val="center"/>
            <w:tcMar>
              <w:top w:w="120" w:type="dxa"/>
              <w:start w:w="120" w:type="dxa"/>
              <w:bottom w:w="120" w:type="dxa"/>
              <w:end w:w="120" w:type="dxa"/>
            </w:tcMar>
          </w:tcPr>
          <w:p>
            <w:pPr>
              <w:spacing w:after="40" w:line="276" w:lineRule="auto"/>
              <w:jc w:val="center"/>
            </w:pPr>
            <w:r/>
            <w:r>
              <w:rPr>
                <w:b w:val="0"/>
                <w:sz w:val="15"/>
                <w:rFonts w:eastAsia="宋体"/>
              </w:rPr>
              <w:t>压缩ML扩展</w:t>
            </w:r>
          </w:p>
        </w:tc>
        <w:tc>
          <w:tcPr>
            <w:tcW w:type="dxa" w:w="2592"/>
            <w:vAlign w:val="center"/>
            <w:tcMar>
              <w:top w:w="120" w:type="dxa"/>
              <w:start w:w="120" w:type="dxa"/>
              <w:bottom w:w="120" w:type="dxa"/>
              <w:end w:w="120" w:type="dxa"/>
            </w:tcMar>
          </w:tcPr>
          <w:p>
            <w:pPr>
              <w:spacing w:after="40" w:line="276" w:lineRule="auto"/>
              <w:jc w:val="center"/>
            </w:pPr>
            <w:r/>
            <w:r>
              <w:rPr>
                <w:b w:val="0"/>
                <w:sz w:val="15"/>
                <w:rFonts w:eastAsia="宋体"/>
              </w:rPr>
              <w:t>避免第二主线分散论文</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正文一段一表，详细模型移附录</w:t>
            </w:r>
          </w:p>
        </w:tc>
        <w:tc>
          <w:tcPr>
            <w:tcW w:type="dxa" w:w="2448"/>
            <w:vAlign w:val="center"/>
            <w:tcMar>
              <w:top w:w="120" w:type="dxa"/>
              <w:start w:w="120" w:type="dxa"/>
              <w:bottom w:w="120" w:type="dxa"/>
              <w:end w:w="120" w:type="dxa"/>
            </w:tcMar>
          </w:tcPr>
          <w:p>
            <w:pPr>
              <w:spacing w:after="40" w:line="276" w:lineRule="auto"/>
              <w:jc w:val="left"/>
            </w:pPr>
            <w:r/>
            <w:r>
              <w:rPr>
                <w:b w:val="0"/>
                <w:sz w:val="15"/>
                <w:rFonts w:eastAsia="宋体"/>
              </w:rPr>
              <w:t>扩展分析服务而不抢占主贡献</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B</w:t>
            </w:r>
          </w:p>
        </w:tc>
        <w:tc>
          <w:tcPr>
            <w:tcW w:type="dxa" w:w="2088"/>
            <w:vAlign w:val="center"/>
            <w:tcMar>
              <w:top w:w="120" w:type="dxa"/>
              <w:start w:w="120" w:type="dxa"/>
              <w:bottom w:w="120" w:type="dxa"/>
              <w:end w:w="120" w:type="dxa"/>
            </w:tcMar>
          </w:tcPr>
          <w:p>
            <w:pPr>
              <w:spacing w:after="40" w:line="276" w:lineRule="auto"/>
              <w:jc w:val="center"/>
            </w:pPr>
            <w:r/>
            <w:r>
              <w:rPr>
                <w:b w:val="0"/>
                <w:sz w:val="15"/>
                <w:rFonts w:eastAsia="宋体"/>
              </w:rPr>
              <w:t>政策建议具体化</w:t>
            </w:r>
          </w:p>
        </w:tc>
        <w:tc>
          <w:tcPr>
            <w:tcW w:type="dxa" w:w="2592"/>
            <w:vAlign w:val="center"/>
            <w:tcMar>
              <w:top w:w="120" w:type="dxa"/>
              <w:start w:w="120" w:type="dxa"/>
              <w:bottom w:w="120" w:type="dxa"/>
              <w:end w:w="120" w:type="dxa"/>
            </w:tcMar>
          </w:tcPr>
          <w:p>
            <w:pPr>
              <w:spacing w:after="40" w:line="276" w:lineRule="auto"/>
              <w:jc w:val="center"/>
            </w:pPr>
            <w:r/>
            <w:r>
              <w:rPr>
                <w:b w:val="0"/>
                <w:sz w:val="15"/>
                <w:rFonts w:eastAsia="宋体"/>
              </w:rPr>
              <w:t>顶刊不接受口号式建议</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明确省级政务、发改、财政部门如何围绕采购-执行转换建立清单和监测机制</w:t>
            </w:r>
          </w:p>
        </w:tc>
        <w:tc>
          <w:tcPr>
            <w:tcW w:type="dxa" w:w="2448"/>
            <w:vAlign w:val="center"/>
            <w:tcMar>
              <w:top w:w="120" w:type="dxa"/>
              <w:start w:w="120" w:type="dxa"/>
              <w:bottom w:w="120" w:type="dxa"/>
              <w:end w:w="120" w:type="dxa"/>
            </w:tcMar>
          </w:tcPr>
          <w:p>
            <w:pPr>
              <w:spacing w:after="40" w:line="276" w:lineRule="auto"/>
              <w:jc w:val="center"/>
            </w:pPr>
            <w:r/>
            <w:r>
              <w:rPr>
                <w:b w:val="0"/>
                <w:sz w:val="15"/>
                <w:rFonts w:eastAsia="宋体"/>
              </w:rPr>
              <w:t>建议与实证结果一一对应</w:t>
            </w:r>
          </w:p>
        </w:tc>
      </w:tr>
      <w:tr>
        <w:tc>
          <w:tcPr>
            <w:tcW w:type="dxa" w:w="936"/>
            <w:vAlign w:val="center"/>
            <w:tcMar>
              <w:top w:w="120" w:type="dxa"/>
              <w:start w:w="120" w:type="dxa"/>
              <w:bottom w:w="120" w:type="dxa"/>
              <w:end w:w="120" w:type="dxa"/>
            </w:tcMar>
            <w:shd w:fill="D9EAF7"/>
          </w:tcPr>
          <w:p>
            <w:pPr>
              <w:spacing w:after="40" w:line="276" w:lineRule="auto"/>
              <w:jc w:val="center"/>
            </w:pPr>
            <w:r/>
            <w:r>
              <w:rPr>
                <w:b w:val="0"/>
                <w:sz w:val="15"/>
                <w:rFonts w:eastAsia="宋体"/>
              </w:rPr>
              <w:t>C</w:t>
            </w:r>
          </w:p>
        </w:tc>
        <w:tc>
          <w:tcPr>
            <w:tcW w:type="dxa" w:w="2088"/>
            <w:vAlign w:val="center"/>
            <w:tcMar>
              <w:top w:w="120" w:type="dxa"/>
              <w:start w:w="120" w:type="dxa"/>
              <w:bottom w:w="120" w:type="dxa"/>
              <w:end w:w="120" w:type="dxa"/>
            </w:tcMar>
          </w:tcPr>
          <w:p>
            <w:pPr>
              <w:spacing w:after="40" w:line="276" w:lineRule="auto"/>
              <w:jc w:val="center"/>
            </w:pPr>
            <w:r/>
            <w:r>
              <w:rPr>
                <w:b w:val="0"/>
                <w:sz w:val="15"/>
                <w:rFonts w:eastAsia="宋体"/>
              </w:rPr>
              <w:t>语言最终精修</w:t>
            </w:r>
          </w:p>
        </w:tc>
        <w:tc>
          <w:tcPr>
            <w:tcW w:type="dxa" w:w="2592"/>
            <w:vAlign w:val="center"/>
            <w:tcMar>
              <w:top w:w="120" w:type="dxa"/>
              <w:start w:w="120" w:type="dxa"/>
              <w:bottom w:w="120" w:type="dxa"/>
              <w:end w:w="120" w:type="dxa"/>
            </w:tcMar>
          </w:tcPr>
          <w:p>
            <w:pPr>
              <w:spacing w:after="40" w:line="276" w:lineRule="auto"/>
              <w:jc w:val="center"/>
            </w:pPr>
            <w:r/>
            <w:r>
              <w:rPr>
                <w:b w:val="0"/>
                <w:sz w:val="15"/>
                <w:rFonts w:eastAsia="宋体"/>
              </w:rPr>
              <w:t>提升投稿成熟度</w:t>
            </w:r>
          </w:p>
        </w:tc>
        <w:tc>
          <w:tcPr>
            <w:tcW w:type="dxa" w:w="3168"/>
            <w:vAlign w:val="center"/>
            <w:tcMar>
              <w:top w:w="120" w:type="dxa"/>
              <w:start w:w="120" w:type="dxa"/>
              <w:bottom w:w="120" w:type="dxa"/>
              <w:end w:w="120" w:type="dxa"/>
            </w:tcMar>
          </w:tcPr>
          <w:p>
            <w:pPr>
              <w:spacing w:after="40" w:line="276" w:lineRule="auto"/>
              <w:jc w:val="left"/>
            </w:pPr>
            <w:r/>
            <w:r>
              <w:rPr>
                <w:b w:val="0"/>
                <w:sz w:val="15"/>
                <w:rFonts w:eastAsia="宋体"/>
              </w:rPr>
              <w:t>删除“显著优化”等强表达，压缩重复解释</w:t>
            </w:r>
          </w:p>
        </w:tc>
        <w:tc>
          <w:tcPr>
            <w:tcW w:type="dxa" w:w="2448"/>
            <w:vAlign w:val="center"/>
            <w:tcMar>
              <w:top w:w="120" w:type="dxa"/>
              <w:start w:w="120" w:type="dxa"/>
              <w:bottom w:w="120" w:type="dxa"/>
              <w:end w:w="120" w:type="dxa"/>
            </w:tcMar>
          </w:tcPr>
          <w:p>
            <w:pPr>
              <w:spacing w:after="40" w:line="276" w:lineRule="auto"/>
              <w:jc w:val="center"/>
            </w:pPr>
            <w:r/>
            <w:r>
              <w:rPr>
                <w:b w:val="0"/>
                <w:sz w:val="15"/>
                <w:rFonts w:eastAsia="宋体"/>
              </w:rPr>
              <w:t>全文学术化、凝练化</w:t>
            </w:r>
          </w:p>
        </w:tc>
      </w:tr>
    </w:tbl>
    <w:p/>
    <w:p>
      <w:pPr>
        <w:pStyle w:val="Heading1"/>
      </w:pPr>
      <w:r>
        <w:t>九、可直接替换的关键表述</w:t>
      </w:r>
    </w:p>
    <w:p>
      <w:pPr>
        <w:spacing w:after="100" w:line="283" w:lineRule="auto"/>
      </w:pPr>
      <w:r>
        <w:rPr>
          <w:rFonts w:eastAsia="宋体"/>
        </w:rPr>
        <w:t>摘要方法句：基于2014—2022年省级面板数据，本文在地区和年份固定效应框架下估计政务服务数字化改革暴露强度与PPP项目推进结构变化之间的平均条件关联，并以对数比率、趋势调整、逐省剔除和 wild bootstrap 检验识别边界。</w:t>
      </w:r>
    </w:p>
    <w:p>
      <w:pPr>
        <w:spacing w:after="100" w:line="283" w:lineRule="auto"/>
      </w:pPr>
      <w:r>
        <w:rPr>
          <w:rFonts w:eastAsia="宋体"/>
        </w:rPr>
        <w:t>结果解释句：基准结果和对数比率检验均显示，改革暴露强度较高的地区更可能出现采购阶段向执行阶段的相对份额重组；但事件研究和更保守推断表明，该关系的动态持续性与统计强度仍需谨慎解释。</w:t>
      </w:r>
    </w:p>
    <w:p>
      <w:pPr>
        <w:spacing w:after="100" w:line="283" w:lineRule="auto"/>
      </w:pPr>
      <w:r>
        <w:rPr>
          <w:rFonts w:eastAsia="宋体"/>
        </w:rPr>
        <w:t>结论句：本文不将上述结果解释为数字化改革对PPP治理质量的全面提升，而将其界定为数字化制度接口与PPP推进结构之间的过程性关联证据。</w:t>
      </w:r>
    </w:p>
    <w:p/>
    <w:p>
      <w:pPr>
        <w:jc w:val="center"/>
      </w:pPr>
      <w:r>
        <w:rPr>
          <w:b/>
          <w:color w:val="C00000"/>
          <w:sz w:val="22"/>
          <w:rFonts w:eastAsia="黑体"/>
        </w:rPr>
        <w:t>结论：v2c 已经完成有效收束，但尚需一轮方法与附录层面的实质性补强。</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