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body>
    <ns0:p ns2:paraId="2C1996D8">
      <ns0:pPr>
        <ns0:spacing ns0:before="0" ns0:after="120" ns0:line="420" ns0:lineRule="auto"/>
        <ns0:jc ns0:val="center"/>
      </ns0:pPr>
      <ns0:r>
        <ns0:t>政务服务数字化改革与PPP项目推进结构重组</ns0:t>
      </ns0:r>
    </ns0:p>
    <ns0:p ns2:paraId="390DCDE6">
      <ns0:pPr>
        <ns0:spacing ns0:before="0" ns0:after="100" ns0:line="420" ns0:lineRule="auto"/>
        <ns0:jc ns0:val="center"/>
      </ns0:pPr>
      <ns0:r>
        <ns0:t>——基于政策文本量化与省级面板的条件关联证据</ns0:t>
      </ns0:r>
    </ns0:p>
    <ns0:p ns2:paraId="30403AEF">
      <ns0:pPr>
        <ns0:spacing ns0:before="100" ns0:after="40" ns0:line="420" ns0:lineRule="auto"/>
        <ns0:jc ns0:val="left"/>
      </ns0:pPr>
      <ns0:r>
        <ns0:t>摘要</ns0:t>
      </ns0:r>
    </ns0:p>
    <ns0:p ns2:paraId="06D5E74C">
      <ns0:pPr>
        <ns0:spacing ns0:before="0" ns0:after="0" ns0:line="420" ns0:lineRule="auto"/>
        <ns0:ind ns0:firstLine="420"/>
        <ns0:jc ns0:val="both"/>
      </ns0:pPr>
      <ns0:r>
        <ns0:t>本文关注的核心问题不是数字化改革是否立即全面提升PPP治理质量，而是它是否首先与PPP项目推进结构重组相关。基于地方政府PPP政策文本、统一口径的省级主面板以及项目级风险底表，本文将政策文本量化结果转化为治理能力测度变量，并以treat_share为唯一主识别中的核心处理变量，在地区和年份固定效应框架下估计政务服务数字化改革暴露强度与PPP项目推进结构、治理表现之间的平均条件关联。结果显示，在基准TWFE规格下，treat_share与exec_share显著正相关（系数0.3556），与proc_share显著负相关（系数-0.4023）；在同一262个正式估计观测上补充构造的执行/采购对数比率指标也给出同向支持（系数3.1916，p = 0.0277）。相比之下，综合治理质量指标ppp_quality_zindex虽有正向信号，但统计上不够稳定，不能承担全文主结论。进一步的趋势调整型DID显示，proc_share在加入省份线性趋势后仍为负且p = 0.0485，exec_share仅保持正向但p = 0.1945；wild cluster bootstrap下两项主结果的p值分别为0.0761和0.1221，提示推断强度较标准聚类结果更敏感。考虑到A/B/C/D维度与treat_share都依托政策文本工程，本轮将相关结果统一降格为“政策文本证据线索”，仅用于说明数字治理接口、数据协同与前端规范环节更可能率先响应，而不再将其写作独立的强机制检验。项目级高低风险识别仍只构成治理辅助识别的扩展分析，不改变本文以多期DID/TWFE为唯一主识别的研究结构。本文据此将数字化改革在PPP领域的经验结果界定为过程性、方向性的条件关联证据：其更接近于改善政府内部协同、前端规范和审批执行衔接，而非即时、全面地提升所有治理质量指标。</ns0:t>
      </ns0:r>
    </ns0:p>
    <ns0:p ns2:paraId="67752E94">
      <ns0:pPr>
        <ns0:spacing ns0:before="0" ns0:after="40" ns0:line="420" ns0:lineRule="auto"/>
        <ns0:jc ns0:val="left"/>
      </ns0:pPr>
      <ns0:r>
        <ns0:t>关键词：数字政府；政务服务数字化改革；PPP治理；政策文本量化；推进结构重组；治理辅助识别</ns0:t>
      </ns0:r>
    </ns0:p>
    <ns0:p ns2:paraId="5705B879">
      <ns0:pPr>
        <ns0:spacing ns0:before="160" ns0:after="60" ns0:line="420" ns0:lineRule="auto"/>
        <ns0:jc ns0:val="left"/>
      </ns0:pPr>
      <ns0:r>
        <ns0:t>1 引言</ns0:t>
      </ns0:r>
    </ns0:p>
    <ns0:p ns2:paraId="7EA9AC05">
      <ns0:pPr>
        <ns0:spacing ns0:before="0" ns0:after="0" ns0:line="420" ns0:lineRule="auto"/>
        <ns0:ind ns0:firstLine="420"/>
        <ns0:jc ns0:val="both"/>
      </ns0:pPr>
      <ns0:r>
        <ns0:t>在公共服务供给方式持续调整的背景下，PPP并不只是财政工具或投资组织方式的替代性安排，更是地方政府在跨部门协同、项目识别、采购组织、合同执行和风险约束等多个治理环节上的综合制度实践。对地方政府而言，PPP运行状态的差异并不完全表现为项目数量多寡，而更集中地体现在项目能否穿过前端识别、合规审查和采购组织，进入相对稳定的执行阶段。这个意义上的PPP治理，本质上是政府内部组织协调、政策执行效率和程序规范供给的集中体现。随着政务服务数字化改革不断推进，审批事项在线化、部门数据共享、流程透明化和节点追踪机制逐渐成为地方治理体系的重要组成部分，数字化改革是否以及如何改变PPP项目治理过程，也因此成为一个需要被重新检验的公共管理问题。</ns0:t>
      </ns0:r>
    </ns0:p>
    <ns0:p ns2:paraId="2AF545B6">
      <ns0:pPr>
        <ns0:spacing ns0:before="0" ns0:after="0" ns0:line="420" ns0:lineRule="auto"/>
        <ns0:ind ns0:firstLine="420"/>
        <ns0:jc ns0:val="both"/>
      </ns0:pPr>
      <ns0:r>
        <ns0:t>既有研究为理解这一问题提供了三方面基础，但仍存在明显空缺。第一，关于数字政府或数字治理改革的研究，更多关注营商环境、政务效率、信息披露和企业行为等结果变量，对改革如何通过制度接口重塑具体治理过程的讨论仍然有限（肖永慧，2025；边江泽等，2025）。第二，关于PPP治理的经验研究，已有工作已经注意到地方治理压力、财政约束、政策内容与项目推进之间的关系，但对“政府改革如何通过政策执行与流程重构影响PPP推进结构”的解释仍不充分（孙慧等，2024；汪峰等，2025）。第三，关于政策文本分析的研究，尽管主题识别、词典计量和机器学习方法已被广泛引入政策研究，但不少工作停留在主题展示或分类比较层面，尚未进一步完成“文本结果如何进入正式变量工程、如何服务于因果识别和治理解释”的闭环（曹玲静、张志强，2022；李牧南等，2024）。至于项目级机器学习识别，已有相关经验更多出现在金融舞弊或企业风险领域，直接移植到PPP并不自然，其适用边界也需要重新界定（范小云等，2022；范柏乃、盛中华，2024）。</ns0:t>
      </ns0:r>
    </ns0:p>
    <ns0:p ns2:paraId="07EBD6BC">
      <ns0:pPr>
        <ns0:spacing ns0:before="0" ns0:after="0" ns0:line="420" ns0:lineRule="auto"/>
        <ns0:ind ns0:firstLine="420"/>
        <ns0:jc ns0:val="both"/>
      </ns0:pPr>
      <ns0:r>
        <ns0:t>本文尝试在上述交叉地带推进一步。基于正式口径的PPP政策文本、省级面板和项目级风险底表，本文首先将政策文本分析结果组织为A、B、C、D四类治理维度，并在文档级、省—年级和主面板之间完成统一映射，用以支撑治理能力测度和机制解释；随后，以treat_share为核心处理变量，在地区和年份固定效应框架下考察数字化改革暴露强度与PPP项目推进结构重组之间的平均条件关联；在此基础上，再对机制、异质性、稳健性和项目级扩展分析进行分层检验。本文并不试图将文本分析或机器学习写成主识别模型，也不把所有质量型指标的同步改善预设为既定结论，而是将研究重心放在一个更符合当前证据边界的问题上：数字化改革是否首先与PPP项目的推进结构重组和治理过程调整相关联。</ns0:t>
      </ns0:r>
    </ns0:p>
    <ns0:p ns2:paraId="51C6C0BD">
      <ns0:pPr>
        <ns0:spacing ns0:before="0" ns0:after="0" ns0:line="420" ns0:lineRule="auto"/>
        <ns0:ind ns0:firstLine="420"/>
        <ns0:jc ns0:val="both"/>
      </ns0:pPr>
      <ns0:r>
        <ns0:t>本文的经验结果显示，在基准双向固定效应规格下，treat_share与exec_share呈显著正向关联、与proc_share呈显著负向关联，对数比率补充估计也给出同向信号。这意味着当前最稳固的证据首先体现为PPP推进结构的相对重组，而不是所有治理质量指标的同步跃升。相比之下，综合治理质量指标ppp_quality_zindex虽然方向为正，但统计上不够稳定，不能被写成全文主结论。机制分析进一步表明，改革更可能优先作用于数字治理接口和前端规范环节，采购—执行治理维度存在阶段性响应，但严格中介并未成立。相较于将数字政府研究停留在一般行政效率结果、将PPP研究停留在投资安排或财政约束解释、将文本分析停留在方法展示，本文的边际贡献在于把数字化改革、项目推进结构与文本变量工程纳入同一公共管理分析框架，并在严格区分主识别、防守性稳健性与扩展分析的前提下组织证据层级。项目级高低风险识别结果则显示，在严格避免标签泄漏的前提下，文本与结构变量可以服务于风险排序任务，但这一部分属于扩展分析，不构成对主识别的替代。</ns0:t>
      </ns0:r>
    </ns0:p>
    <ns0:p ns2:paraId="72D87E3E">
      <ns0:pPr>
        <ns0:spacing ns0:before="0" ns0:after="0" ns0:line="420" ns0:lineRule="auto"/>
        <ns0:ind ns0:firstLine="420"/>
        <ns0:jc ns0:val="both"/>
      </ns0:pPr>
      <ns0:r>
        <ns0:t>本文的写作结构如下：第二部分回顾相关文献，并据此界定本文的补位位置；第三部分提出理论分析框架与研究假设；第四部分说明数据来源、文本变量构造、核心变量定义和计量识别思路；第五部分给出描述性事实、基准结果、动态路径、机制检验、异质性、稳健性与项目级扩展分析；第六部分总结全文并讨论政策含义、研究局限与后续方向。</ns0:t>
      </ns0:r>
    </ns0:p>
    <ns0:p ns2:paraId="4943697C">
      <ns0:pPr>
        <ns0:spacing ns0:before="160" ns0:after="60" ns0:line="420" ns0:lineRule="auto"/>
        <ns0:jc ns0:val="left"/>
      </ns0:pPr>
      <ns0:r>
        <ns0:t>2 文献综述</ns0:t>
      </ns0:r>
    </ns0:p>
    <ns0:p ns2:paraId="532AF634">
      <ns0:pPr>
        <ns0:spacing ns0:before="100" ns0:after="40" ns0:line="420" ns0:lineRule="auto"/>
        <ns0:jc ns0:val="left"/>
      </ns0:pPr>
      <ns0:r>
        <ns0:t>2.1 数字政府、政策执行与组织协同</ns0:t>
      </ns0:r>
    </ns0:p>
    <ns0:p ns2:paraId="7B2D6F51">
      <ns0:pPr>
        <ns0:spacing ns0:before="0" ns0:after="0" ns0:line="420" ns0:lineRule="auto"/>
        <ns0:ind ns0:firstLine="420"/>
        <ns0:jc ns0:val="both"/>
      </ns0:pPr>
      <ns0:r>
        <ns0:t>数字政府研究的一个基本判断是，信息基础设施和政务流程数字化并不会自动改变公共治理结果，但会首先改变政府内部的组织协同方式、程序透明程度和政策执行效率。已有文献围绕在线审批、数据共享、数字治理平台和制度接口重构等问题，揭示了数字化改革对部门协同、规则标准化和行政效率的影响路径。这类研究的重要贡献，在于把数字化改革理解为一类政府内部治理结构调整，而不是单纯技术升级。问题在于，现有讨论更多聚焦一般性行政效率、营商环境或企业端结果，对PPP这类跨部门、跨阶段且强依赖前端审查与执行衔接的治理场景，仍缺少足够细致的经验证据（肖永慧，2025；边江泽等，2025）。</ns0:t>
      </ns0:r>
    </ns0:p>
    <ns0:p ns2:paraId="3A1123CD">
      <ns0:pPr>
        <ns0:spacing ns0:before="0" ns0:after="0" ns0:line="420" ns0:lineRule="auto"/>
        <ns0:ind ns0:firstLine="420"/>
        <ns0:jc ns0:val="both"/>
      </ns0:pPr>
      <ns0:r>
        <ns0:t>对于本文而言，这一类文献主要提供了两个启发。其一，数字化改革的作用更可能先出现在流程再造、节点追踪和信息联通等治理过程环节，而非直接体现在所有终端绩效指标上。其二，若要检验数字化改革在PPP场景下的真实作用，就需要把政府内部流程与项目推进结构之间的联系纳入分析，而不能只停留在对改革政策本身的制度描述。</ns0:t>
      </ns0:r>
    </ns0:p>
    <ns0:p ns2:paraId="196E2D94">
      <ns0:pPr>
        <ns0:spacing ns0:before="0" ns0:after="0" ns0:line="420" ns0:lineRule="auto"/>
        <ns0:ind ns0:firstLine="420"/>
        <ns0:jc ns0:val="both"/>
      </ns0:pPr>
      <ns0:r>
        <ns0:t>进一步看，制度冲击型改革的经验研究表明，规则重塑和信息披露安排的改变往往先改善信息质量、组织环境与行为约束，再经由这些过程性变化影响终端绩效；关于政策系统“变与稳”的讨论也提示，不同治理环节对改革的响应并不同步，前端流程、制度接口和披露机制常常早于综合绩效指标发生变化（王渊等，2025；廖燕珠、莫桂芳，2025）。由此出发，数字化改革在PPP场景下更值得优先考察的，不是所有质量口径是否同步跃升，而是项目推进链条是否首先出现可观测的结构重组。</ns0:t>
      </ns0:r>
    </ns0:p>
    <ns0:p ns2:paraId="426717FE">
      <ns0:pPr>
        <ns0:spacing ns0:before="100" ns0:after="40" ns0:line="420" ns0:lineRule="auto"/>
        <ns0:jc ns0:val="left"/>
      </ns0:pPr>
      <ns0:r>
        <ns0:t>2.2 PPP治理、公共服务供给与项目推进</ns0:t>
      </ns0:r>
    </ns0:p>
    <ns0:p ns2:paraId="28EF0F58">
      <ns0:pPr>
        <ns0:spacing ns0:before="0" ns0:after="0" ns0:line="420" ns0:lineRule="auto"/>
        <ns0:ind ns0:firstLine="420"/>
        <ns0:jc ns0:val="both"/>
      </ns0:pPr>
      <ns0:r>
        <ns0:t>围绕PPP的研究，已有工作分别从财政压力、政绩激励、项目筛选、合同治理和风险约束等角度讨论了地方政府行为及其后果。相关研究已经指出，PPP项目推进并非单一市场行为，而是政府部门之间协调、评估、采购、签约和执行共同作用的结果。特别是在公共服务供给语境下，PPP项目所处阶段不仅反映项目生命周期位置，也在相当程度上反映地方政府治理能力和程序执行状态。已有经验研究对项目推进速度、签约率、实施率及其影响因素提供了不少识别，但关于“数字化政务服务改革如何通过改变政府流程和前端规范影响PPP推进结构”的研究仍然不足（孙慧等，2024；汪峰等，2025）。</ns0:t>
      </ns0:r>
    </ns0:p>
    <ns0:p ns2:paraId="158F9385">
      <ns0:pPr>
        <ns0:spacing ns0:before="0" ns0:after="0" ns0:line="420" ns0:lineRule="auto"/>
        <ns0:ind ns0:firstLine="420"/>
        <ns0:jc ns0:val="both"/>
      </ns0:pPr>
      <ns0:r>
        <ns0:t>这一不足意味着，PPP研究仍需要从更明确的公共管理视角推进：不是把PPP仅仅看作投资活动或财政安排，而是把它还原为公共部门组织运行和服务供给能力的一个可观测窗口。本文正是在这一意义上，把执行阶段占比和采购阶段占比视为更贴近治理过程的核心结果变量，并将“推进结构改善优先”而非“质量全面提升”作为更稳妥的经验判断。</ns0:t>
      </ns0:r>
    </ns0:p>
    <ns0:p ns2:paraId="282BBE2B">
      <ns0:pPr>
        <ns0:spacing ns0:before="0" ns0:after="0" ns0:line="420" ns0:lineRule="auto"/>
        <ns0:ind ns0:firstLine="420"/>
        <ns0:jc ns0:val="both"/>
      </ns0:pPr>
      <ns0:r>
        <ns0:t>近期关于PPP政策内容、市场反应与项目进程的研究进一步说明，PPP项目并非单纯的资本投入单元，而是制度供给、政策约束、市场预期和项目执行共同作用的治理对象。无论是规范性政策文本对市场信号的影响，还是经济增长目标对项目推进节奏的牵引，都表明项目阶段转换本身具有清晰的公共管理含义（孙慧等，2024；汪峰等，2025）。正因为如此，执行阶段占比和采购阶段占比并不是单纯的生命周期统计，而是地方政府治理能力和政策执行状态的外在窗口。</ns0:t>
      </ns0:r>
    </ns0:p>
    <ns0:p ns2:paraId="2940264A">
      <ns0:pPr>
        <ns0:spacing ns0:before="100" ns0:after="40" ns0:line="420" ns0:lineRule="auto"/>
        <ns0:jc ns0:val="left"/>
      </ns0:pPr>
      <ns0:r>
        <ns0:t>2.3 政策文本量化、治理测度与变量工程</ns0:t>
      </ns0:r>
    </ns0:p>
    <ns0:p ns2:paraId="0B47B6EC">
      <ns0:pPr>
        <ns0:spacing ns0:before="0" ns0:after="0" ns0:line="420" ns0:lineRule="auto"/>
        <ns0:ind ns0:firstLine="420"/>
        <ns0:jc ns0:val="both"/>
      </ns0:pPr>
      <ns0:r>
        <ns0:t>政策文本量化方法已经从传统的词频和词典统计，扩展到主题模型、深度学习分类和嵌入式语义表示。相关文献已经证明，政策文本不仅可以揭示政策议题结构，还可以在一定条件下进入制度测度和治理研究。但在实际应用中，文本分析常常停留在主题展示或方法比较层面，未能完成从“文本发现”到“正式变量工程”的过渡。尤其在公共管理研究中，如果文本分析不能与制度维度、样本层级和识别设计相对接，方法本身再复杂，也难以转化为稳定的实证证据（曹玲静、张志强，2022；李牧南等，2024）。</ns0:t>
      </ns0:r>
    </ns0:p>
    <ns0:p ns2:paraId="61656872">
      <ns0:pPr>
        <ns0:spacing ns0:before="0" ns0:after="0" ns0:line="420" ns0:lineRule="auto"/>
        <ns0:ind ns0:firstLine="420"/>
        <ns0:jc ns0:val="both"/>
      </ns0:pPr>
      <ns0:r>
        <ns0:t>本文在这一块的补位并不在于发明新的文本算法，而在于将政策文本分析组织为一套可追溯的治理测度框架。具体而言，本文以A、B、C、D四类治理维度为桥梁，将词典扩展、主题映射和省—年聚合结果转化为正式变量，并使其在主面板中服务于机制分析和结果解释。换言之，文本分析在本文中不是独立研究对象，而是治理能力测度和变量工程的一部分。</ns0:t>
      </ns0:r>
    </ns0:p>
    <ns0:p ns2:paraId="29E67CB4">
      <ns0:pPr>
        <ns0:spacing ns0:before="0" ns0:after="0" ns0:line="420" ns0:lineRule="auto"/>
        <ns0:ind ns0:firstLine="420"/>
        <ns0:jc ns0:val="both"/>
      </ns0:pPr>
      <ns0:r>
        <ns0:t>从政策信息学、主题建模和自动编码的最新进展看，文本量化方法的真正价值不在于算法名称本身，而在于能否把非结构化政策语义转化为可比较、可聚合、可进入正式识别框架的制度信息。就本文而言，BERTopic、词典扩展和自动编码都只是服务于治理维度识别和变量工程的工具，其方法层级从属于研究问题层级；如果不能与治理维度划分、样本层级组织和经验识别衔接，再复杂的文本处理也难以形成可信的公共管理证据（王蓝蓝、刘艳丽，2024；曹玲静、张志强，2022；李牧南等，2024）。</ns0:t>
      </ns0:r>
    </ns0:p>
    <ns0:p ns2:paraId="060D3D1F">
      <ns0:pPr>
        <ns0:spacing ns0:before="100" ns0:after="40" ns0:line="420" ns0:lineRule="auto"/>
        <ns0:jc ns0:val="left"/>
      </ns0:pPr>
      <ns0:r>
        <ns0:t>2.4 风险治理与辅助识别的边界</ns0:t>
      </ns0:r>
    </ns0:p>
    <ns0:p ns2:paraId="615D316D">
      <ns0:pPr>
        <ns0:spacing ns0:before="0" ns0:after="0" ns0:line="420" ns0:lineRule="auto"/>
        <ns0:ind ns0:firstLine="420"/>
        <ns0:jc ns0:val="both"/>
      </ns0:pPr>
      <ns0:r>
        <ns0:t>机器学习和预测模型已经广泛进入风险治理、合规监管和异常识别等研究领域。在金融、会计和舆情研究中，这类方法往往能够较好地完成分类或排序任务。然而，从公共管理研究的角度看，预测能力并不等于制度解释能力，更不等于治理替代。尤其在PPP场景下，如果风险标签与文本特征定义交叉不清，模型很容易因为标签泄漏而获得看似优异但并不可靠的结果。因此，项目级机器学习分析的关键不在于模型堆叠得多复杂，而在于是否清楚划定标签边界、特征边界以及预测与因果之间的界限（范柏乃、盛中华，2024；范小云等，2022；刘敏等，2025）。</ns0:t>
      </ns0:r>
    </ns0:p>
    <ns0:p ns2:paraId="70365786">
      <ns0:pPr>
        <ns0:spacing ns0:before="0" ns0:after="0" ns0:line="420" ns0:lineRule="auto"/>
        <ns0:ind ns0:firstLine="420"/>
        <ns0:jc ns0:val="both"/>
      </ns0:pPr>
      <ns0:r>
        <ns0:t>本文将项目级风险识别严格限定为扩展分析，只用来说明文本变量和结构变量在治理辅助识别中的应用潜力，而不以此改写主识别结构。这一安排同时回应了两方面不足：一方面，现有PPP研究对项目级风险排序工具的规范化讨论不足；另一方面，现有方法类研究又常常忽视预测任务在公共治理场景中的制度边界。</ns0:t>
      </ns0:r>
    </ns0:p>
    <ns0:p ns2:paraId="66567846">
      <ns0:pPr>
        <ns0:spacing ns0:before="0" ns0:after="0" ns0:line="420" ns0:lineRule="auto"/>
        <ns0:ind ns0:firstLine="420"/>
        <ns0:jc ns0:val="both"/>
      </ns0:pPr>
      <ns0:r>
        <ns0:t>风险治理研究与多源文本研究同时提示，排序能力、预警能力与制度解释能力并不处于同一层次。项目级模型即便能够较好地区分高低风险项目，也更多体现为前端筛查和资源配置上的治理辅助价值，而不能被直接转译为制度因果识别（范柏乃、盛中华，2024；范小云等，2022；刘敏等，2025）。对本文而言，这一区分尤为关键：项目级扩展分析的意义在于补充公共治理工具箱，而不在于重写省级面板上的主识别结论。</ns0:t>
      </ns0:r>
    </ns0:p>
    <ns0:p ns2:paraId="735A44BC">
      <ns0:pPr>
        <ns0:spacing ns0:before="0" ns0:after="0" ns0:line="420" ns0:lineRule="auto"/>
        <ns0:ind ns0:firstLine="420"/>
        <ns0:jc ns0:val="both"/>
      </ns0:pPr>
      <ns0:r>
        <ns0:t>综上，现有研究分别提供了数字政府、PPP治理、政策文本量化和风险辅助识别的分析基础，但在“政务服务数字化改革—PPP治理过程—文本变量工程—项目级扩展识别”这一完整链条上仍未形成闭合。本文的工作不在于重新发明一套方法，而在于把这几类研究真正衔接起来，并在严格区分强证据、弱证据和扩展证据的前提下，给出一套更符合公共管理问题意识的经验分析框架。</ns0:t>
      </ns0:r>
    </ns0:p>
    <ns0:p ns2:paraId="6707BDC3">
      <ns0:pPr>
        <ns0:spacing ns0:before="160" ns0:after="60" ns0:line="420" ns0:lineRule="auto"/>
        <ns0:jc ns0:val="left"/>
      </ns0:pPr>
      <ns0:r>
        <ns0:t>3 理论分析与研究假设</ns0:t>
      </ns0:r>
    </ns0:p>
    <ns0:p ns2:paraId="1C9B496D">
      <ns0:pPr>
        <ns0:spacing ns0:before="0" ns0:after="0" ns0:line="420" ns0:lineRule="auto"/>
        <ns0:ind ns0:firstLine="420"/>
        <ns0:jc ns0:val="both"/>
      </ns0:pPr>
      <ns0:r>
        <ns0:t>在明确研究问题、数据基础和总体识别思路之后，本文需要进一步回答一个更为根本的问题：政务服务数字化改革究竟通过何种公共管理机制影响PPP项目的治理运行过程。对于PPP这一兼具公共服务供给、政府监管和跨部门协同特征的制度安排而言，数字化改革的作用不太可能以单一、线性的方式体现为“所有治理质量指标同步改善”，更可能首先作用于政府内部流程、前端规范和执行衔接等治理过程环节，并在此基础上逐步影响项目推进结构和后续治理绩效。基于这一判断，本文从公共管理视角出发，将理论分析收束为“推进结构改善优先”和“接口优先、前端规范先行”的两条主线，并据此提出可检验的研究假设。</ns0:t>
      </ns0:r>
    </ns0:p>
    <ns0:p ns2:paraId="563E5DF9">
      <ns0:pPr>
        <ns0:spacing ns0:before="160" ns0:after="60" ns0:line="420" ns0:lineRule="auto"/>
        <ns0:jc ns0:val="left"/>
      </ns0:pPr>
      <ns0:r>
        <ns0:t>3.1 数字化改革、政府协同与PPP推进结构</ns0:t>
      </ns0:r>
    </ns0:p>
    <ns0:p ns2:paraId="2319931F">
      <ns0:pPr>
        <ns0:spacing ns0:before="0" ns0:after="0" ns0:line="420" ns0:lineRule="auto"/>
        <ns0:ind ns0:firstLine="420"/>
        <ns0:jc ns0:val="both"/>
      </ns0:pPr>
      <ns0:r>
        <ns0:t>PPP项目的治理运行并不只是项目数量或投资规模的简单累积，而是由项目识别、材料报送、实施方案论证、物有所值评价、财政承受能力审核、采购组织、合同签订和执行跟踪等多个环节共同构成的连续治理过程。对于地方政府而言，这一过程的核心难点并不完全在于是否拥有项目，而在于是否能够在多部门之间建立稳定的信息传递、流程衔接和责任分工机制。换言之，PPP项目能否顺利由前端识别和采购环节进入执行环节，本质上反映的是政府内部治理能力和政策执行效率。</ns0:t>
      </ns0:r>
    </ns0:p>
    <ns0:p ns2:paraId="17069AF5">
      <ns0:pPr>
        <ns0:spacing ns0:before="0" ns0:after="0" ns0:line="420" ns0:lineRule="auto"/>
        <ns0:ind ns0:firstLine="420"/>
        <ns0:jc ns0:val="both"/>
      </ns0:pPr>
      <ns0:r>
        <ns0:t>政务服务数字化改革首先改变的，正是政府内部流程的组织方式。一方面，在线政务平台、跨部门数据共享和电子化审批减少了项目申报、审核和流转中的信息摩擦，降低了原先分散于多个部门之间的沟通成本和协调成本。另一方面，流程标准化、节点可视化和办理透明化提高了项目推进过程中的可追踪性，使前端审批和执行衔接不再完全依赖线下协商与非标准化处理。这种制度性变化并不必然意味着所有项目都立即表现出“更高质量”的综合结果，但更有可能首先体现为项目推进结构的重组，即原本停留在采购阶段或前端准备阶段的项目，更快进入执行阶段，项目推进过程的阶段分布因此发生调整。</ns0:t>
      </ns0:r>
    </ns0:p>
    <ns0:p ns2:paraId="1C61CB02">
      <ns0:pPr>
        <ns0:spacing ns0:before="0" ns0:after="0" ns0:line="420" ns0:lineRule="auto"/>
        <ns0:ind ns0:firstLine="420"/>
        <ns0:jc ns0:val="both"/>
      </ns0:pPr>
      <ns0:r>
        <ns0:t>从公共管理角度看，这种变化具有两层含义。其一，数字化改革通过改善政府内部协同和政策执行效率，提升了项目推进链条中的组织可达性与程序可达性。其二，PPP作为公共服务供给的重要制度载体，其项目阶段结构本身就是治理过程运行状态的外在表现。因此，若改革确实改善了治理过程，那么最先被观察到的，不一定是抽象意义上的综合质量跃升，而更可能是项目从采购向执行的结构性转移。也正因如此，本文不预设数字化改革必然带来所有治理质量指标的同步改善，而是将其首要影响收束为推进结构上的优化。</ns0:t>
      </ns0:r>
    </ns0:p>
    <ns0:p ns2:paraId="2A8A054C">
      <ns0:pPr>
        <ns0:spacing ns0:before="0" ns0:after="0" ns0:line="420" ns0:lineRule="auto"/>
        <ns0:ind ns0:firstLine="420"/>
        <ns0:jc ns0:val="both"/>
      </ns0:pPr>
      <ns0:r>
        <ns0:t>已有关于PPP项目进程和政策内容的研究表明，前端规范供给、政府目标牵引和项目入库规则往往会优先改变项目在不同阶段之间的转换速度，而不必然立即改善所有质量指标（孙慧等，2024；汪峰等，2025）。换言之，数字化改革若通过提升协同效率、压缩程序摩擦和规范准入条件发挥作用，那么最早可见的经验结果更可能是采购、准备与执行阶段之间的结构重组，而不是综合治理质量的同步跃升。</ns0:t>
      </ns0:r>
    </ns0:p>
    <ns0:p ns2:paraId="587F4C6B">
      <ns0:pPr>
        <ns0:spacing ns0:before="50" ns0:after="50" ns0:line="420" ns0:lineRule="auto"/>
        <ns0:jc ns0:val="left"/>
      </ns0:pPr>
      <ns0:r>
        <ns0:t>基于上述分析，本文提出第一个研究假设：</ns0:t>
      </ns0:r>
    </ns0:p>
    <ns0:p ns2:paraId="496EF862">
      <ns0:pPr>
        <ns0:spacing ns0:before="0" ns0:after="0" ns0:line="420" ns0:lineRule="auto"/>
        <ns0:ind ns0:firstLine="420"/>
        <ns0:jc ns0:val="both"/>
      </ns0:pPr>
      <ns0:r>
        <ns0:t>假说H1：政务服务数字化改革暴露强度越高，PPP项目推进结构由采购/准备阶段向执行阶段发生相对份额重组的程度越高。</ns0:t>
      </ns0:r>
    </ns0:p>
    <ns0:p ns2:paraId="31900A7E">
      <ns0:pPr>
        <ns0:spacing ns0:before="160" ns0:after="60" ns0:line="420" ns0:lineRule="auto"/>
        <ns0:jc ns0:val="left"/>
      </ns0:pPr>
      <ns0:r>
        <ns0:t>3.2 接口优先、前端规范先行与阶段性传导</ns0:t>
      </ns0:r>
    </ns0:p>
    <ns0:p ns2:paraId="67455CD8">
      <ns0:pPr>
        <ns0:spacing ns0:before="0" ns0:after="0" ns0:line="420" ns0:lineRule="auto"/>
        <ns0:ind ns0:firstLine="420"/>
        <ns0:jc ns0:val="both"/>
      </ns0:pPr>
      <ns0:r>
        <ns0:t>在主效应之外，本文还需要解释改革为何会首先表现为推进结构改善，而不是直接体现为综合治理质量显著跃升。对此，公共管理视角下更合理的解释是：数字化改革首先改变的是制度接口，而不是项目最终绩效。所谓制度接口，主要是指政府部门之间的信息联通、事项办理平台、项目入库规则、审批材料标准、公开披露要求以及前端约束程序等与项目启动和推进直接相关的制度性安排。在PPP场景中，这些接口因素既决定项目能否被有效识别和规范纳入，也决定项目能否在采购与执行之间实现更顺畅的流程转换。</ns0:t>
      </ns0:r>
    </ns0:p>
    <ns0:p ns2:paraId="6578DD09">
      <ns0:pPr>
        <ns0:spacing ns0:before="0" ns0:after="0" ns0:line="420" ns0:lineRule="auto"/>
        <ns0:ind ns0:firstLine="420"/>
        <ns0:jc ns0:val="both"/>
      </ns0:pPr>
      <ns0:r>
        <ns0:t>结合本文的政策文本框架，这一逻辑可以进一步拆解为四个层面的治理维度。第一，A维度对应数字治理接口与数据协同，其核心是平台建设、在线办理、数据共享和信息公开等制度表达。这一维度反映的是政府内部流程再造和协同能力，是数字化改革最可能率先作用的环节。第二，B维度对应项目识别与前端规范准入，包括项目入库、物有所值评价、财政承受能力约束和实施方案审批等内容。这一维度体现的是PPP前端程序的规范化程度。第三，C维度对应采购交易、合同安排与执行绩效，更多反映项目进入具体执行环节后的治理运行状态。第四，D维度对应风险防控、监督纠偏与退出约束，体现的是治理体系的后端监督与风险处置能力。</ns0:t>
      </ns0:r>
    </ns0:p>
    <ns0:p ns2:paraId="49AE620C">
      <ns0:pPr>
        <ns0:spacing ns0:before="0" ns0:after="0" ns0:line="420" ns0:lineRule="auto"/>
        <ns0:ind ns0:firstLine="420"/>
        <ns0:jc ns0:val="both"/>
      </ns0:pPr>
      <ns0:r>
        <ns0:t>按照这一结构，数字化改革最有可能先推动A维度改善，并在此基础上通过B维度的前端规范化影响项目推进过程。原因在于，跨部门协同、线上审批和数据归集首先降低的是流程成本和程序摩擦，而项目识别、合规审查和准入标准的统一，则进一步提高了前端治理的规范性。只有在前端接口和准入环境得到改善之后，采购组织、合同安排与执行衔接等C维度内容才可能出现较稳定的阶段性响应。相比之下，风险防控和退出约束等D维度往往涉及更长周期、更强监督和更复杂的制度反馈，其变化未必会与前端治理同步显现。</ns0:t>
      </ns0:r>
    </ns0:p>
    <ns0:p ns2:paraId="1DEC935D">
      <ns0:pPr>
        <ns0:spacing ns0:before="0" ns0:after="0" ns0:line="420" ns0:lineRule="auto"/>
        <ns0:ind ns0:firstLine="420"/>
        <ns0:jc ns0:val="both"/>
      </ns0:pPr>
      <ns0:r>
        <ns0:t>这意味着，数字化改革的机制更可能表现为一种“接口优先、前端规范先行、后端传导不完全同步”的阶段性过程，而不是一条从前端到后端均稳定显著的完整强中介链条。对于本文而言，这一点尤为重要。因为如果后文经验结果仅支持A维度的先行响应、B到C的局部传导，以及部分环节显著而严格中介不足，那么这种结果并不意味着理论失败，而恰恰说明PPP治理链条中的改革传导本就具有阶段性、分层性和不完全性。</ns0:t>
      </ns0:r>
    </ns0:p>
    <ns0:p ns2:paraId="22C0CE5F">
      <ns0:pPr>
        <ns0:spacing ns0:before="0" ns0:after="0" ns0:line="420" ns0:lineRule="auto"/>
        <ns0:ind ns0:firstLine="420"/>
        <ns0:jc ns0:val="both"/>
      </ns0:pPr>
      <ns0:r>
        <ns0:t>从政策系统差异化调适的角度看，制度改革对不同治理维度的影响本就可能呈现“先接口、后绩效；先前端、后后端”的时序特征。也就是说，即便数字治理接口和前端准入环境已经发生调整，综合质量指标和后端风险约束也未必同步改善。由此，后文若观察到推进结构结果更稳、质量口径更弱，并不意味着理论失效，而更符合制度传导分层展开的现实逻辑。</ns0:t>
      </ns0:r>
    </ns0:p>
    <ns0:p ns2:paraId="2E9AB6EF">
      <ns0:pPr>
        <ns0:spacing ns0:before="50" ns0:after="50" ns0:line="420" ns0:lineRule="auto"/>
        <ns0:jc ns0:val="left"/>
      </ns0:pPr>
      <ns0:r>
        <ns0:t>基于上述分析，本文提出第二个研究假设：</ns0:t>
      </ns0:r>
    </ns0:p>
    <ns0:p ns2:paraId="78BA2F7C">
      <ns0:pPr>
        <ns0:spacing ns0:before="0" ns0:after="0" ns0:line="420" ns0:lineRule="auto"/>
        <ns0:ind ns0:firstLine="420"/>
        <ns0:jc ns0:val="both"/>
      </ns0:pPr>
      <ns0:r>
        <ns0:t>假说H2：政务服务数字化改革暴露强度越高，数字治理接口与前端规范准入相关的治理环境越可能率先响应，并通过阶段性传导与PPP项目推进结构重组相关联，但完整、稳定的强中介链条未必成立。</ns0:t>
      </ns0:r>
    </ns0:p>
    <ns0:p ns2:paraId="549CC562">
      <ns0:pPr>
        <ns0:spacing ns0:before="160" ns0:after="60" ns0:line="420" ns0:lineRule="auto"/>
        <ns0:jc ns0:val="left"/>
      </ns0:pPr>
      <ns0:r>
        <ns0:t>3.3 项目级风险识别的扩展命题与理论边界</ns0:t>
      </ns0:r>
    </ns0:p>
    <ns0:p ns2:paraId="4584768D">
      <ns0:pPr>
        <ns0:spacing ns0:before="0" ns0:after="0" ns0:line="420" ns0:lineRule="auto"/>
        <ns0:ind ns0:firstLine="420"/>
        <ns0:jc ns0:val="both"/>
      </ns0:pPr>
      <ns0:r>
        <ns0:t>除了省级面板上的治理过程识别之外，本文还进一步关注一个扩展性问题：如果数字化改革确实改变了PPP项目的前端识别、采购配置和执行推进，那么这种治理过程重塑是否也会在项目层面的高风险与低风险分布中留下可识别的结构性差异。这个问题与全文主识别并不处于同一层次。前者关注的是制度冲击与治理过程之间的因果联系，后者关注的是在既有制度结果和文本表达基础上，项目级风险能否被有效排序和识别。</ns0:t>
      </ns0:r>
    </ns0:p>
    <ns0:p ns2:paraId="6B908506">
      <ns0:pPr>
        <ns0:spacing ns0:before="0" ns0:after="0" ns0:line="420" ns0:lineRule="auto"/>
        <ns0:ind ns0:firstLine="420"/>
        <ns0:jc ns0:val="both"/>
      </ns0:pPr>
      <ns0:r>
        <ns0:t>从理论上看，治理过程优化并不等于项目风险自动消失，但它会改变风险暴露的表现形式。若前端识别更规范、采购与执行衔接更顺畅，则部分高风险项目可能在文本表达、项目特征和结构状态上呈现出更清晰的差异模式。反过来，这也意味着项目级文本与结构变量具有一定的治理辅助价值，即它们可以为高风险项目的识别、预警和分类提供支持。然而，这一支持本质上属于预测和辅助治理范畴，而非因果识别范畴。特别是在PPP风险问题上，如果标签定义与特征构造不加区分，机器学习模型很容易因标签泄漏而夸大表现，从而模糊“治理识别”和“技术分类”之间的边界。</ns0:t>
      </ns0:r>
    </ns0:p>
    <ns0:p ns2:paraId="7AFAD483">
      <ns0:pPr>
        <ns0:spacing ns0:before="0" ns0:after="0" ns0:line="420" ns0:lineRule="auto"/>
        <ns0:ind ns0:firstLine="420"/>
        <ns0:jc ns0:val="both"/>
      </ns0:pPr>
      <ns0:r>
        <ns0:t>因此，本文不将项目级风险识别写成正式主假说，而是将其界定为一个扩展命题：在严格避免标签泄漏的前提下，项目级文本和结构变量应当能够对极端高风险与低风险项目实现一定程度的有效排序。这一命题的作用，不是改写全文的主识别结构，而是说明文本变量在公共管理研究中不仅可以支撑省级治理测度和机制分析，也可以为项目层面的治理辅助工具提供结构化输入。</ns0:t>
      </ns0:r>
    </ns0:p>
    <ns0:p ns2:paraId="7A1D6B8D">
      <ns0:pPr>
        <ns0:spacing ns0:before="0" ns0:after="0" ns0:line="420" ns0:lineRule="auto"/>
        <ns0:ind ns0:firstLine="420"/>
        <ns0:jc ns0:val="both"/>
      </ns0:pPr>
      <ns0:r>
        <ns0:t>基于这一考虑，本文在后续扩展分析部分只把项目级风险识别解释为“治理辅助识别”而不是“治理替代”。换言之，即使模型在排序任务中表现出中等偏强的识别能力，也只能说明数字化治理、项目特征和文本表达之间存在可利用的信息结构，而不能据此反推模型本身构成了新的制度治理能力。也正因为如此，本部分仅作为扩展命题存在，其理论意义在于拓展文本量化与公共管理应用场景，而不改变全文以treat_share多期DID/TWFE为唯一主识别的研究结构。</ns0:t>
      </ns0:r>
    </ns0:p>
    <ns0:p ns2:paraId="1EF45851">
      <ns0:pPr>
        <ns0:spacing ns0:before="0" ns0:after="0" ns0:line="420" ns0:lineRule="auto"/>
        <ns0:ind ns0:firstLine="420"/>
        <ns0:jc ns0:val="both"/>
      </ns0:pPr>
      <ns0:r>
        <ns0:t>风险治理与多阶段舆情识别研究还提示，排序能力的提升并不自动等于机制解释能力的增强。项目级模型能够帮助治理主体更早识别潜在高风险项目，但它回答的是“谁更可能出问题”，而不是“制度冲击为何产生这种结果”。因此，扩展分析即便具有操作层面的现实价值，也不能被反向理解为对主识别机制的补证。</ns0:t>
      </ns0:r>
    </ns0:p>
    <ns0:p ns2:paraId="35579BB8">
      <ns0:pPr>
        <ns0:spacing ns0:before="0" ns0:after="0" ns0:line="420" ns0:lineRule="auto"/>
        <ns0:ind ns0:firstLine="420"/>
        <ns0:jc ns0:val="both"/>
      </ns0:pPr>
      <ns0:r>
        <ns0:t>综上，本文的理论部分形成了一个层次清晰的分析框架：第一，数字化改革首先通过改善政府内部协同和政策执行效率，推动PPP项目推进结构优化；第二，这一影响机制更可能表现为数字治理接口优先、前端规范先行和阶段性传导，而非完整稳定的强中介链条；第三，项目级风险识别只构成治理辅助性的扩展命题，而不进入主假说体系。基于这一框架，后文将依次在研究设计、主识别、机制检验和扩展分析中，对上述判断进行分层次的经验检验。</ns0:t>
      </ns0:r>
    </ns0:p>
    <ns0:p ns2:paraId="202B20E1">
      <ns0:pPr>
        <ns0:spacing ns0:before="160" ns0:after="60" ns0:line="420" ns0:lineRule="auto"/>
        <ns0:jc ns0:val="left"/>
      </ns0:pPr>
      <ns0:r>
        <ns0:t>4 研究设计</ns0:t>
      </ns0:r>
    </ns0:p>
    <ns0:p ns2:paraId="107004AD">
      <ns0:pPr>
        <ns0:spacing ns0:before="100" ns0:after="40" ns0:line="420" ns0:lineRule="auto"/>
        <ns0:jc ns0:val="left"/>
      </ns0:pPr>
      <ns0:r>
        <ns0:t>4.1 数据来源与样本结构</ns0:t>
      </ns0:r>
    </ns0:p>
    <ns0:p ns2:paraId="50857982">
      <ns0:pPr>
        <ns0:spacing ns0:before="0" ns0:after="0" ns0:line="420" ns0:lineRule="auto"/>
        <ns0:ind ns0:firstLine="420"/>
        <ns0:jc ns0:val="both"/>
      </ns0:pPr>
      <ns0:r>
        <ns0:t>本文的数据结构由三个相互衔接但层级分明的部分构成：其一是地方政府PPP相关政策文本，用于刻画制度表达、治理重点和政策执行取向；其二是省级主面板，用于识别政务服务数字化改革对PPP推进结构和治理表现的影响；其三是项目级风险底表，用于在扩展分析中考察高低风险项目的可识别性。三者之间并非同层并列关系，而是遵循“文档级文本—省年级治理测度—省级主面板识别—项目级扩展应用”的层级递进逻辑。</ns0:t>
      </ns0:r>
    </ns0:p>
    <ns0:p ns2:paraId="70C32763">
      <ns0:pPr>
        <ns0:spacing ns0:before="0" ns0:after="0" ns0:line="420" ns0:lineRule="auto"/>
        <ns0:ind ns0:firstLine="420"/>
        <ns0:jc ns0:val="both"/>
      </ns0:pPr>
      <ns0:r>
        <ns0:t>从样本结构看，本文首先收集并整理了1472份PPP政策文本，在清洗、去重和口径统一后，形成1307份进入主识别窗口的地方样本文档。在此基础上，文本结果被进一步聚合到省—年层，得到288个平衡的省—年观察值；考虑主识别窗口、变量完整性和正式主面板统一口径后，形成266个省级面板观测；进入第5部分正式估计的样本为262个观察值。与此同时，项目级风险扩展部分使用严格无标签泄漏口径下的10000个项目观察值。由此可见，本文并未将不同层级的数据直接混用，而是通过统一规则实现由文本到治理测度、再到面板识别和扩展分析的逐层衔接。</ns0:t>
      </ns0:r>
    </ns0:p>
    <ns0:p ns2:paraId="78B5B591">
      <ns0:pPr>
        <ns0:spacing ns0:before="0" ns0:after="40" ns0:line="420" ns0:lineRule="auto"/>
        <ns0:jc ns0:val="center"/>
      </ns0:pPr>
      <ns0:r>
        <ns0:t>表1报告了政策文本样本结构与语料覆盖情况。该表的作用不只是说明样本规模，更重要的是交代本文的证据组织方式：文本材料首先作为制度表达层证据存在，随后经由省—年聚合进入治理测度，最终服务于省级面板的因果识别。表3则进一步展示了V3主面板的样本结构、处理时点与主要变量描述统计，表明本文正式识别所依赖的是已经过统一口径整理的省级面板，而不是原始文档级样本。换言之，文本分析与主面板识别之间的关系，是“变量工程支撑因果检验”，而不是“文本模型直接替代识别设计”。</ns0:t>
      </ns0:r>
    </ns0:p>
    <ns0:p ns2:paraId="7BA7EC6B">
      <ns0:r>
        <ns0:t>Panel A 年度分布与层级结构</ns0:t>
      </ns0:r>
    </ns0:p>
    <ns0:tbl>
      <ns0:tblPr>
        <ns0:tblStyle ns0:val="2"/>
        <ns0:tblW ns0:w="8811" ns0:type="dxa"/>
        <ns0:jc ns0:val="center"/>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Layout ns0:type="autofit"/>
        <ns0:tblCellMar>
          <ns0:top ns0:w="0" ns0:type="dxa"/>
          <ns0:left ns0:w="108" ns0:type="dxa"/>
          <ns0:bottom ns0:w="0" ns0:type="dxa"/>
          <ns0:right ns0:w="108" ns0:type="dxa"/>
        </ns0:tblCellMar>
      </ns0:tblPr>
      <ns0:tblGrid>
        <ns0:gridCol ns0:w="996"/>
        <ns0:gridCol ns0:w="1007"/>
        <ns0:gridCol ns0:w="1233"/>
        <ns0:gridCol ns0:w="1233"/>
        <ns0:gridCol ns0:w="1007"/>
        <ns0:gridCol ns0:w="2102"/>
        <ns0:gridCol ns0:w="1233"/>
      </ns0:tblGrid>
      <ns0:tr ns2:paraId="64CBCBB5">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tblHeader/>
          <ns0:jc ns0:val="center"/>
        </ns0:trPr>
        <ns0:tc>
          <ns0:tcPr>
            <ns0:tcW ns0:w="996"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40" ns0:type="dxa"/>
              <ns0:left ns0:w="50" ns0:type="dxa"/>
              <ns0:bottom ns0:w="40" ns0:type="dxa"/>
              <ns0:right ns0:w="50" ns0:type="dxa"/>
            </ns0:tcMar>
            <ns0:vAlign ns0:val="center"/>
          </ns0:tcPr>
          <ns0:p ns2:paraId="541593D2">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年份</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7671D5B4">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文本总数</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44BC68E7">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中央文本数</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289DFFF6">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地方文本数</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4FF978F4">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总字符数</ns0:t>
            </ns0:r>
          </ns0:p>
        </ns0:tc>
        <ns0:tc>
          <ns0:tcPr>
            <ns0:tcW ns0:w="2102" ns0:type="dxa"/>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38DBB260">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平均篇幅（字符）</ns0:t>
            </ns0:r>
          </ns0:p>
        </ns0:tc>
        <ns0:tc>
          <ns0:tcPr>
            <ns0:tcW ns0:w="1233" ns0:type="dxa"/>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2625055A">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平均句子数</ns0:t>
            </ns0:r>
          </ns0:p>
        </ns0:tc>
      </ns0:tr>
      <ns0:tr ns2:paraId="7138F5EA">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465882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2014</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135BD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25</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58B4E4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119ABD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AD2C9F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88,130</ns0:t>
            </ns0:r>
          </ns0:p>
        </ns0:tc>
        <ns0:tc>
          <ns0:tcPr>
            <ns0:tcW ns0:w="2102" ns0:type="dxa"/>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9C72A3D">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3,525.20</ns0:t>
            </ns0:r>
          </ns0:p>
        </ns0:tc>
        <ns0:tc>
          <ns0:tcPr>
            <ns0:tcW ns0:w="1233" ns0:type="dxa"/>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AFA6FA9">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64.52</ns0:t>
            </ns0:r>
          </ns0:p>
        </ns0:tc>
      </ns0:tr>
      <ns0:tr ns2:paraId="40522B2C">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94837BC">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0D4115C">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341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547AAE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120A09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322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CACA49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1,167,069</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8246011">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3,422.49</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9864F5B">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62.29</ns0:t>
            </ns0:r>
          </ns0:p>
        </ns0:tc>
      </ns0:tr>
      <ns0:tr ns2:paraId="4945B00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59143A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0B567FB">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302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8D2AA3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6B474C9">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281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582D8E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1,127,167</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2F769EF">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3,732.34</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E9BA889">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65.32</ns0:t>
            </ns0:r>
          </ns0:p>
        </ns0:tc>
      </ns0:tr>
      <ns0:tr ns2:paraId="70E3B07C">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EF9D8E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2017</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C6A33B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323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F4853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190CAC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297</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796DA1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1,203,030</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4A6216B">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3,724.55</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E16EA78">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62.82</ns0:t>
            </ns0:r>
          </ns0:p>
        </ns0:tc>
      </ns0:tr>
      <ns0:tr ns2:paraId="5C0FC809">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FA9EDD0">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2018</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39178E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140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343644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35D5BE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132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0E1852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543,578</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788B13E">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3,882.70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2281B70">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61.89</ns0:t>
            </ns0:r>
          </ns0:p>
        </ns0:tc>
      </ns0:tr>
      <ns0:tr ns2:paraId="288CC0FC">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ADCC71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29CE522">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5B0088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367E26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A73AFB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256,981</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EA57EB4">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3,953.55</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012FE53">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68.43</ns0:t>
            </ns0:r>
          </ns0:p>
        </ns0:tc>
      </ns0:tr>
      <ns0:tr ns2:paraId="369F6D52">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33AF82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64ADF4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90D860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D8FDCF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28E4F0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291,202</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5567893">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3,271.93</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B55D6B0">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47.47</ns0:t>
            </ns0:r>
          </ns0:p>
        </ns0:tc>
      </ns0:tr>
      <ns0:tr ns2:paraId="1108608E">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A42C98B">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41ADD1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81CF05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B32DA2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6BBDD3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217,655</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ED515CE">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3,627.58</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C53FE31">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62.75</ns0:t>
            </ns0:r>
          </ns0:p>
        </ns0:tc>
      </ns0:tr>
      <ns0:tr ns2:paraId="48157CF2">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0747BC0">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BB3C02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A8A200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A85E33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E48E28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190,596</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08640B8">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3,403.50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D42A5E9">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52.93</ns0:t>
            </ns0:r>
          </ns0:p>
        </ns0:tc>
      </ns0:tr>
      <ns0:tr ns2:paraId="4D8E4BC1">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6C916A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F468FC9">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DCBE5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7E4968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31C214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66,766</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FF84F3F">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3,514.00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FB2D9C5">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53.16</ns0:t>
            </ns0:r>
          </ns0:p>
        </ns0:tc>
      </ns0:tr>
      <ns0:tr ns2:paraId="49E048D2">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81C606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453ABB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D93769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0008EB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C3F7EF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59,873</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99551A4">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2,064.59</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4BA003E">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12.45</ns0:t>
            </ns0:r>
          </ns0:p>
        </ns0:tc>
      </ns0:tr>
      <ns0:tr ns2:paraId="43F19C29">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9FEE580">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D6427B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3CEA9A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37655F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2BA1C5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31,815</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97E9B98">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3,181.50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3D35052">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58.50</ns0:t>
            </ns0:r>
          </ns0:p>
        </ns0:tc>
      </ns0:tr>
      <ns0:tr ns2:paraId="68063BA3">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D39FC9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无年份</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9945A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B27CEA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DA2277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6316E4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28,956</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F293574">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2,227.38</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897307C">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37.08</ns0:t>
            </ns0:r>
          </ns0:p>
        </ns0:tc>
      </ns0:tr>
      <ns0:tr ns2:paraId="162BEB6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459CA552">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合计</ns0:t>
            </ns0:r>
          </ns0:p>
        </ns0:tc>
        <ns0:tc>
          <ns0:tcPr>
            <ns0:tcW ns0:w="1007"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47570E1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1,472</ns0:t>
            </ns0:r>
          </ns0:p>
        </ns0:tc>
        <ns0:tc>
          <ns0:tcPr>
            <ns0:tcW ns0:w="1233"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229D2D5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105</ns0:t>
            </ns0:r>
          </ns0:p>
        </ns0:tc>
        <ns0:tc>
          <ns0:tcPr>
            <ns0:tcW ns0:w="1233"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414003F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1,367</ns0:t>
            </ns0:r>
          </ns0:p>
        </ns0:tc>
        <ns0:tc>
          <ns0:tcPr>
            <ns0:tcW ns0:w="1007"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29E23B9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5,272,818</ns0:t>
            </ns0:r>
          </ns0:p>
        </ns0:tc>
        <ns0:tc>
          <ns0:tcPr>
            <ns0:tcW ns0:w="2102"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57F5A3A5">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3,582.08</ns0:t>
            </ns0:r>
          </ns0:p>
        </ns0:tc>
        <ns0:tc>
          <ns0:tcPr>
            <ns0:tcW ns0:w="1233"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7CBCE16B">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60.72</ns0:t>
            </ns0:r>
          </ns0:p>
        </ns0:tc>
      </ns0:tr>
    </ns0:tbl>
    <ns0:p ns2:paraId="127EC8B6">
      <ns0:pPr>
        <ns0:spacing ns0:before="0" ns0:after="0" ns0:line="420" ns0:lineRule="auto"/>
        <ns0:ind ns0:firstLine="420"/>
        <ns0:jc ns0:val="both"/>
      </ns0:pPr>
      <ns0:r>
        <ns0:t>这一层级关系意味着，文档级文本首先承担制度语义观测功能，省—年聚合结果承担治理能力测度功能，主面板承担因果识别功能，而项目级底表仅承担扩展分析功能。样本之间因此是递进衔接关系，而非可任意互换的平行数据源。</ns0:t>
      </ns0:r>
    </ns0:p>
    <ns0:p ns2:paraId="5150231C">
      <ns0:pPr>
        <ns0:spacing ns0:before="0" ns0:after="0" ns0:line="420" ns0:lineRule="auto"/>
        <ns0:ind ns0:firstLine="420"/>
        <ns0:jc ns0:val="both"/>
      </ns0:pPr>
    </ns0:p>
    <ns0:p ns2:paraId="58190B4F">
      <ns0:pPr>
        <ns0:spacing ns0:before="0" ns0:after="0" ns0:line="420" ns0:lineRule="auto"/>
        <ns0:ind ns0:firstLine="420"/>
        <ns0:jc ns0:val="both"/>
      </ns0:pPr>
    </ns0:p>
    <ns0:p ns2:paraId="5C8689EA">
      <ns0:pPr>
        <ns0:spacing ns0:before="0" ns0:after="0" ns0:line="420" ns0:lineRule="auto"/>
        <ns0:ind ns0:firstLine="420"/>
        <ns0:jc ns0:val="both"/>
      </ns0:pPr>
    </ns0:p>
    <ns0:p ns2:paraId="57E31665">
      <ns0:pPr>
        <ns0:spacing ns0:before="0" ns0:after="0" ns0:line="420" ns0:lineRule="auto"/>
        <ns0:ind ns0:firstLine="420"/>
        <ns0:jc ns0:val="both"/>
      </ns0:pPr>
    </ns0:p>
    <ns0:p ns2:paraId="4D6F8E3C">
      <ns0:pPr>
        <ns0:spacing ns0:before="0" ns0:after="0" ns0:line="420" ns0:lineRule="auto"/>
        <ns0:ind ns0:firstLine="420"/>
        <ns0:jc ns0:val="both"/>
      </ns0:pPr>
    </ns0:p>
    <ns0:p ns2:paraId="12316BE1">
      <ns0:pPr>
        <ns0:spacing ns0:before="0" ns0:after="0" ns0:line="420" ns0:lineRule="auto"/>
        <ns0:ind ns0:firstLine="420"/>
        <ns0:jc ns0:val="both"/>
      </ns0:pPr>
    </ns0:p>
    <ns0:p ns2:paraId="6DA916B7">
      <ns0:pPr>
        <ns0:spacing ns0:before="0" ns0:after="0" ns0:line="420" ns0:lineRule="auto"/>
        <ns0:ind ns0:firstLine="420"/>
        <ns0:jc ns0:val="both"/>
      </ns0:pPr>
    </ns0:p>
    <ns0:p ns2:paraId="75152F6C">
      <ns0:pPr>
        <ns0:spacing ns0:before="0" ns0:after="0" ns0:line="420" ns0:lineRule="auto"/>
        <ns0:ind ns0:firstLine="420"/>
        <ns0:jc ns0:val="both"/>
      </ns0:pPr>
    </ns0:p>
    <ns0:p ns2:paraId="1ECABF05">
      <ns0:pPr>
        <ns0:spacing ns0:before="0" ns0:after="0" ns0:line="420" ns0:lineRule="auto"/>
        <ns0:ind ns0:firstLine="420"/>
        <ns0:jc ns0:val="both"/>
      </ns0:pPr>
    </ns0:p>
    <ns0:p ns2:paraId="45FA0671">
      <ns0:pPr>
        <ns0:spacing ns0:before="0" ns0:after="0" ns0:line="420" ns0:lineRule="auto"/>
        <ns0:ind ns0:firstLine="420"/>
        <ns0:jc ns0:val="both"/>
      </ns0:pPr>
    </ns0:p>
    <ns0:p ns2:paraId="1A3B8C3A">
      <ns0:pPr>
        <ns0:spacing ns0:before="0" ns0:after="0" ns0:line="420" ns0:lineRule="auto"/>
        <ns0:ind ns0:firstLine="420"/>
        <ns0:jc ns0:val="both"/>
      </ns0:pPr>
    </ns0:p>
    <ns0:p ns2:paraId="7BA403B2">
      <ns0:pPr>
        <ns0:spacing ns0:before="0" ns0:after="0" ns0:line="420" ns0:lineRule="auto"/>
        <ns0:ind ns0:firstLine="420"/>
        <ns0:jc ns0:val="both"/>
      </ns0:pPr>
    </ns0:p>
    <ns0:p ns2:paraId="3F4B0680">
      <ns0:pPr>
        <ns0:spacing ns0:before="0" ns0:after="0" ns0:line="420" ns0:lineRule="auto"/>
        <ns0:ind ns0:firstLine="420"/>
        <ns0:jc ns0:val="both"/>
      </ns0:pPr>
    </ns0:p>
    <ns0:p ns2:paraId="4FE3E300">
      <ns0:pPr>
        <ns0:spacing ns0:before="0" ns0:after="0" ns0:line="420" ns0:lineRule="auto"/>
        <ns0:ind ns0:firstLine="420"/>
        <ns0:jc ns0:val="both"/>
      </ns0:pPr>
    </ns0:p>
    <ns0:p ns2:paraId="316B083A">
      <ns0:pPr>
        <ns0:spacing ns0:before="0" ns0:after="0" ns0:line="420" ns0:lineRule="auto"/>
        <ns0:ind ns0:firstLine="420"/>
        <ns0:jc ns0:val="both"/>
      </ns0:pPr>
    </ns0:p>
    <ns0:p ns2:paraId="4BB0B8C1">
      <ns0:pPr>
        <ns0:spacing ns0:before="0" ns0:after="0" ns0:line="420" ns0:lineRule="auto"/>
        <ns0:ind ns0:firstLine="420"/>
        <ns0:jc ns0:val="both"/>
      </ns0:pPr>
    </ns0:p>
    <ns0:p ns2:paraId="5F72921B">
      <ns0:pPr>
        <ns0:spacing ns0:before="0" ns0:after="0" ns0:line="420" ns0:lineRule="auto"/>
        <ns0:ind ns0:firstLine="420"/>
        <ns0:jc ns0:val="both"/>
      </ns0:pPr>
    </ns0:p>
    <ns0:p ns2:paraId="7F4EB822">
      <ns0:pPr>
        <ns0:spacing ns0:before="0" ns0:after="0" ns0:line="420" ns0:lineRule="auto"/>
        <ns0:ind ns0:firstLine="420"/>
        <ns0:jc ns0:val="both"/>
      </ns0:pPr>
    </ns0:p>
    <ns0:p ns2:paraId="0095DCF9">
      <ns0:pPr>
        <ns0:spacing ns0:before="0" ns0:after="0" ns0:line="420" ns0:lineRule="auto"/>
        <ns0:ind ns0:firstLine="420"/>
        <ns0:jc ns0:val="both"/>
      </ns0:pPr>
    </ns0:p>
    <ns0:p ns2:paraId="75BD4D39">
      <ns0:pPr>
        <ns0:spacing ns0:before="0" ns0:after="0" ns0:line="420" ns0:lineRule="auto"/>
        <ns0:ind ns0:firstLine="420"/>
        <ns0:jc ns0:val="both"/>
      </ns0:pPr>
    </ns0:p>
    <ns0:p ns2:paraId="31405C7C">
      <ns0:pPr>
        <ns0:spacing ns0:before="0" ns0:after="0" ns0:line="420" ns0:lineRule="auto"/>
        <ns0:ind ns0:firstLine="420"/>
        <ns0:jc ns0:val="both"/>
      </ns0:pPr>
    </ns0:p>
    <ns0:p ns2:paraId="51FC0AF5">
      <ns0:pPr>
        <ns0:spacing ns0:before="0" ns0:after="0" ns0:line="420" ns0:lineRule="auto"/>
        <ns0:ind ns0:firstLine="420"/>
        <ns0:jc ns0:val="both"/>
      </ns0:pPr>
    </ns0:p>
    <ns0:p ns2:paraId="1D58A06F">
      <ns0:pPr>
        <ns0:spacing ns0:before="0" ns0:after="40" ns0:line="420" ns0:lineRule="auto"/>
        <ns0:jc ns0:val="center"/>
      </ns0:pPr>
      <ns0:r>
        <ns0:t>从公共管理角度看，这样的样本设计有两个直接含义。其一，本文所识别的并不是某一条单独政策文本的即时影响，而是地方政府在一定时期内制度表达、治理重心和改革推进共同作用下的省级治理结果。其二，主面板中的项目推进结构变化，必须被理解为政府治理过程变化的结果表现，而不是项目层零散信息的简单累积。</ns0:t>
      </ns0:r>
    </ns0:p>
    <ns0:tbl>
      <ns0:tblPr>
        <ns0:tblStyle ns0:val="2"/>
        <ns0:tblW ns0:w="9186"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609"/>
        <ns0:gridCol ns0:w="1521"/>
        <ns0:gridCol ns0:w="1516"/>
        <ns0:gridCol ns0:w="1512"/>
        <ns0:gridCol ns0:w="1516"/>
        <ns0:gridCol ns0:w="1512"/>
      </ns0:tblGrid>
      <ns0:tr ns2:paraId="5E484CC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1531"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0A97EA38">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项目/变量</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376C3A8F">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均值或数量</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21277667">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标准差</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7E1CE9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最小值</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6145E2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最大值</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085EFB5">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说明</ns0:t>
            </ns0:r>
          </ns0:p>
        </ns0:tc>
      </ns0:tr>
      <ns0:tr ns2:paraId="6686098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601BB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样本期</ns0:t>
            </ns0: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297B7E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2014—2022</ns0:t>
            </ns0: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AB089C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36E9F5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382A4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F0CF3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V3主面板覆盖区间</ns0:t>
            </ns0:r>
          </ns0:p>
        </ns0:tc>
      </ns0:tr>
      <ns0:tr ns2:paraId="31BD053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52FD05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地区单元数</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860BD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32</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F58468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164338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02A576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6621CA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主面板地区数</ns0:t>
            </ns0:r>
          </ns0:p>
        </ns0:tc>
      </ns0:tr>
      <ns0:tr ns2:paraId="7EB4863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C68F17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正式回归地区数</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DFA01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B0675C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392A8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077BE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55BC79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表4有效地区数</ns0:t>
            </ns0:r>
          </ns0:p>
        </ns0:tc>
      </ns0:tr>
      <ns0:tr ns2:paraId="21AE468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817C1F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首次处理年：2016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F0240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DDF57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0F6B66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8F2FA6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23D999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主要处理批次</ns0:t>
            </ns0:r>
          </ns0:p>
        </ns0:tc>
      </ns0:tr>
      <ns0:tr ns2:paraId="0ACB55C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B25C23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首次处理年：2017</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78043AE">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3AAE1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75726A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45098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D8501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少量后续进入处理</ns0:t>
            </ns0:r>
          </ns0:p>
        </ns0:tc>
      </ns0:tr>
      <ns0:tr ns2:paraId="2AD1BF5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3CA23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Never-treated地区</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BC4800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4265EB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016CB2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468D2C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F9F03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用于DID对照基准</ns0:t>
            </ns0:r>
          </ns0:p>
        </ns0:tc>
      </ns0:tr>
      <ns0:tr ns2:paraId="74399C5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70D7A4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675C2D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0.3008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BBD490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0.2793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10816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3059E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6CC9B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1982E28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90ECC1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did_any</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51F9DF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0.7068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6E23DC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0.4561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1DC501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B2585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238B8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94D235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63F80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did_intensity</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E94C67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0.2371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C358F0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0.2803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321D54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65891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D7B23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1BB2598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786AF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exec_share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7647CB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0.7061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E4F40C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0.3413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35F65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C89E4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2699B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3298738">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EE285C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proc_share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A4F484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0.2794</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C4A072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0.3440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557AD1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11F3C6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6D0526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99AD2E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1C93BF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prep_share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2D17752">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0.0145</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6CCF7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0.0386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6EE124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5C79F7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0.3333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7CD81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7C7BF34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477A2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ppp_quality_zindex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29D638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0.0055</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72555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0.4648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B86300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-2.8557</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E88523">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0.4246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C9FED7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F26F5A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1220F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B60CD9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27.5498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26A3D2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53.1080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C49B2F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75675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505.6180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297326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10626E7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686AA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B_idx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01DAE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52.2510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379E87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53.6970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ECA6C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B0E2B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363.2887</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CC408A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4A44DF8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49F30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0EB3F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143.9109</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AB0A81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106.9286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99CBC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096C4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380.7391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7443F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74CB22D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1C6C2E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51D2C8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29.5266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1A867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34.6515</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378C7A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40DE93">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384.6154</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D75F2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06B866D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BEB454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doc_count</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2570C62">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4.9023</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1529DD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6.7822</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FC8FF3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C6AA5D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42.0000</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05470A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bl>
    <ns0:p ns2:paraId="68357A71">
      <ns0:pPr>
        <ns0:spacing ns0:before="100" ns0:after="40" ns0:line="420" ns0:lineRule="auto"/>
        <ns0:jc ns0:val="left"/>
      </ns0:pPr>
      <ns0:r>
        <ns0:t>4.2 文本分析与变量落地</ns0:t>
      </ns0:r>
    </ns0:p>
    <ns0:p ns2:paraId="61F65DEB">
      <ns0:pPr>
        <ns0:spacing ns0:before="0" ns0:after="0" ns0:line="420" ns0:lineRule="auto"/>
        <ns0:ind ns0:firstLine="420"/>
        <ns0:jc ns0:val="both"/>
      </ns0:pPr>
      <ns0:r>
        <ns0:t>政策文本分析在本文中的任务，不是提供一套独立于治理研究之外的算法展示，而是支撑公共管理意义上的治理能力测度。为此，本文将文本分析框架收束为四类治理维度：A维度对应数字治理接口与数据协同，B维度对应项目识别与前端规范准入，C维度对应采购交易、合同安排与执行绩效，D维度对应风险防控、监督纠偏与退出约束。四类维度并非任意分类，而是围绕PPP治理链条中“前端准入—中端执行—后端监督”的制度结构组织起来的。文本分析的结果，只有在能够被稳定映射到这些治理维度，并进一步转化为省—年级变量后，才真正进入本文的实证框架。</ns0:t>
      </ns0:r>
    </ns0:p>
    <ns0:p ns2:paraId="52911E8E">
      <ns0:pPr>
        <ns0:spacing ns0:before="0" ns0:after="0" ns0:line="420" ns0:lineRule="auto"/>
        <ns0:ind ns0:firstLine="420"/>
        <ns0:jc ns0:val="both"/>
      </ns0:pPr>
      <ns0:r>
        <ns0:t>表2系统报告了政策文本分析框架、主题映射与变量落地关系。该表的重点不在于呈现方法流程本身，而在于说明文档级内容如何被转译为治理测度变量。具体而言，词典扩展用于识别四类治理维度的核心制度表达，主题识别用于辅助刻画不同政策议题的时间分布和结构差异，最终共同形成A、B、C、D指数以及主题占比等省—年级变量。本文在此基础上进一步将文本结果与主面板连接，使文本分析不再停留于“说了什么”，而是进入“如何测量治理能力、如何解释改革影响”的经验环节。</ns0:t>
      </ns0:r>
    </ns0:p>
    <ns0:p ns2:paraId="75C7868A">
      <ns0:pPr>
        <ns0:spacing ns0:before="0" ns0:after="0" ns0:line="420" ns0:lineRule="auto"/>
        <ns0:ind ns0:firstLine="420"/>
        <ns0:jc ns0:val="both"/>
      </ns0:pPr>
    </ns0:p>
    <ns0:p ns2:paraId="112EFDEB">
      <ns0:pPr>
        <ns0:spacing ns0:before="0" ns0:after="0" ns0:line="420" ns0:lineRule="auto"/>
        <ns0:ind ns0:firstLine="420"/>
        <ns0:jc ns0:val="both"/>
      </ns0:pPr>
    </ns0:p>
    <ns0:p ns2:paraId="66029298">
      <ns0:pPr>
        <ns0:spacing ns0:before="0" ns0:after="0" ns0:line="420" ns0:lineRule="auto"/>
        <ns0:ind ns0:firstLine="420"/>
        <ns0:jc ns0:val="both"/>
      </ns0:pPr>
    </ns0:p>
    <ns0:p ns2:paraId="4127FEE5">
      <ns0:pPr>
        <ns0:spacing ns0:before="0" ns0:after="0" ns0:line="420" ns0:lineRule="auto"/>
        <ns0:ind ns0:firstLine="420"/>
        <ns0:jc ns0:val="both"/>
      </ns0:pPr>
    </ns0:p>
    <ns0:p ns2:paraId="1532047E">
      <ns0:pPr>
        <ns0:spacing ns0:before="0" ns0:after="0" ns0:line="420" ns0:lineRule="auto"/>
        <ns0:ind ns0:firstLine="420"/>
        <ns0:jc ns0:val="both"/>
      </ns0:pPr>
    </ns0:p>
    <ns0:p ns2:paraId="4FD5D492">
      <ns0:pPr>
        <ns0:spacing ns0:before="0" ns0:after="0" ns0:line="420" ns0:lineRule="auto"/>
        <ns0:ind ns0:firstLine="420"/>
        <ns0:jc ns0:val="both"/>
      </ns0:pPr>
    </ns0:p>
    <ns0:p ns2:paraId="55E91CA8">
      <ns0:pPr>
        <ns0:spacing ns0:before="0" ns0:after="0" ns0:line="420" ns0:lineRule="auto"/>
        <ns0:ind ns0:firstLine="420"/>
        <ns0:jc ns0:val="both"/>
      </ns0:pPr>
    </ns0:p>
    <ns0:p ns2:paraId="726CAFC3">
      <ns0:pPr>
        <ns0:spacing ns0:before="0" ns0:after="0" ns0:line="420" ns0:lineRule="auto"/>
        <ns0:ind ns0:firstLine="420"/>
        <ns0:jc ns0:val="both"/>
      </ns0:pPr>
    </ns0:p>
    <ns0:p ns2:paraId="5D053928">
      <ns0:pPr>
        <ns0:spacing ns0:before="0" ns0:after="0" ns0:line="420" ns0:lineRule="auto"/>
        <ns0:ind ns0:firstLine="420"/>
        <ns0:jc ns0:val="both"/>
      </ns0:pPr>
    </ns0:p>
    <ns0:p ns2:paraId="2DC54A27">
      <ns0:pPr>
        <ns0:spacing ns0:before="0" ns0:after="0" ns0:line="420" ns0:lineRule="auto"/>
        <ns0:ind ns0:firstLine="420"/>
        <ns0:jc ns0:val="both"/>
      </ns0:pPr>
    </ns0:p>
    <ns0:p ns2:paraId="517AD08C">
      <ns0:pPr>
        <ns0:spacing ns0:before="0" ns0:after="0" ns0:line="420" ns0:lineRule="auto"/>
        <ns0:ind ns0:firstLine="420"/>
        <ns0:jc ns0:val="both"/>
      </ns0:pPr>
    </ns0:p>
    <ns0:p ns2:paraId="4ECA8209">
      <ns0:pPr>
        <ns0:spacing ns0:before="0" ns0:after="0" ns0:line="420" ns0:lineRule="auto"/>
        <ns0:ind ns0:firstLine="420"/>
        <ns0:jc ns0:val="both"/>
      </ns0:pPr>
    </ns0:p>
    <ns0:p ns2:paraId="713622C7">
      <ns0:pPr>
        <ns0:spacing ns0:before="0" ns0:after="40" ns0:line="420" ns0:lineRule="auto"/>
        <ns0:jc ns0:val="center"/>
      </ns0:pPr>
      <ns0:r>
        <ns0:t>为了更直观地呈现这一过程，图1给出了政策文本构造与治理能力测度总览。图中同时展示了语料规模、文本覆盖、A/B/C/D维度路径和主题热度分布，其作用不是重复表2，而是用一张图把“语料规模—治理维度—变量工程”三者之间的关系压缩在同一视觉框架中。对本文而言，这张图承担的是研究设计中的核心桥梁功能：它表明文本分析并非附属性装饰，而是主面板治理测度形成的上游环节；但与此同时，它并不承担因果识别任务，也不能替代后文的多期DID/TWFE估计。</ns0:t>
      </ns0:r>
    </ns0:p>
    <ns0:p ns2:paraId="4B59D11A">
      <ns0:r>
        <ns0:t>Panel A 代码本与二级主题框架</ns0:t>
      </ns0:r>
    </ns0:p>
    <ns0:tbl>
      <ns0:tblPr>
        <ns0:tblStyle ns0:val="2"/>
        <ns0:tblW ns0:w="8730" ns0:type="dxa"/>
        <ns0:jc ns0:val="center"/>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Layout ns0:type="autofit"/>
        <ns0:tblCellMar>
          <ns0:top ns0:w="0" ns0:type="dxa"/>
          <ns0:left ns0:w="108" ns0:type="dxa"/>
          <ns0:bottom ns0:w="0" ns0:type="dxa"/>
          <ns0:right ns0:w="108" ns0:type="dxa"/>
        </ns0:tblCellMar>
      </ns0:tblPr>
      <ns0:tblGrid>
        <ns0:gridCol ns0:w="938"/>
        <ns0:gridCol ns0:w="938"/>
        <ns0:gridCol ns0:w="1462"/>
        <ns0:gridCol ns0:w="1956"/>
        <ns0:gridCol ns0:w="2078"/>
        <ns0:gridCol ns0:w="1358"/>
      </ns0:tblGrid>
      <ns0:tr ns2:paraId="2D65E7A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tblHeader/>
          <ns0:jc ns0:val="center"/>
        </ns0:trPr>
        <ns0:tc>
          <ns0:tcPr>
            <ns0:tcW ns0:w="93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45C5D85">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一级主题</ns0:t>
            </ns0:r>
          </ns0:p>
        </ns0:tc>
        <ns0:tc>
          <ns0:tcPr>
            <ns0:tcW ns0:w="93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1E34FA5">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二级代码</ns0:t>
            </ns0:r>
          </ns0:p>
        </ns0:tc>
        <ns0:tc>
          <ns0:tcPr>
            <ns0:tcW ns0:w="0" ns0:type="auto"/>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AE17722">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二级主题名称</ns0:t>
            </ns0:r>
          </ns0:p>
        </ns0:tc>
        <ns0:tc>
          <ns0:tcPr>
            <ns0:tcW ns0:w="1956"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A83A86E">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操作性定义（简写）</ns0:t>
            </ns0:r>
          </ns0:p>
        </ns0:tc>
        <ns0:tc>
          <ns0:tcPr>
            <ns0:tcW ns0:w="207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5FC5199">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典型触发词/短语（示例）</ns0:t>
            </ns0:r>
          </ns0:p>
        </ns0:tc>
        <ns0:tc>
          <ns0:tcPr>
            <ns0:tcW ns0:w="135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59BD6881">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后续变量映射</ns0:t>
            </ns0:r>
          </ns0:p>
        </ns0:tc>
      </ns0:tr>
      <ns0:tr ns2:paraId="78195F3D">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16215BE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ns0:t>
            </ns0:r>
          </ns0:p>
        </ns0:tc>
        <ns0:tc>
          <ns0:tcPr>
            <ns0:tcW ns0:w="93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5E38EC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A1</ns0:t>
            </ns0:r>
          </ns0:p>
        </ns0:tc>
        <ns0:tc>
          <ns0:tcPr>
            <ns0:tcW ns0:w="0" ns0:type="auto"/>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88D68A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平台建设与在线办理</ns0:t>
            </ns0:r>
          </ns0:p>
        </ns0:tc>
        <ns0:tc>
          <ns0:tcPr>
            <ns0:tcW ns0:w="1956"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005A375B">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PPP管理、审批、受理、流程办理的线上平台化表达</ns0:t>
            </ns0:r>
          </ns0:p>
        </ns0:tc>
        <ns0:tc>
          <ns0:tcPr>
            <ns0:tcW ns0:w="207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93937D4">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平台、系统、在线办理、网上审批、一网通办</ns0:t>
            </ns0:r>
          </ns0:p>
        </ns0:tc>
        <ns0:tc>
          <ns0:tcPr>
            <ns0:tcW ns0:w="135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F474AF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A1_idx / A_idx</ns0:t>
            </ns0:r>
          </ns0:p>
        </ns0:tc>
      </ns0:tr>
      <ns0:tr ns2:paraId="6D4F33D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4F47C64">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385F30D">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E913B1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数据共享与动态报送</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06B9035">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跨部门数据共享、动态更新、监测台账、接口对接</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88DD95A">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数据共享、归集、动态报送、数据接口、互联互通</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46D468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A2_idx / A_idx</ns0:t>
            </ns0:r>
          </ns0:p>
        </ns0:tc>
      </ns0:tr>
      <ns0:tr ns2:paraId="1CFB56A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52F5ED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2B25675">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A3</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D01FD61">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信息公开与透明协同</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02BC89D">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项目公示、披露、过程透明、社会监督便利性</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2726F2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信息公开、公示、披露、透明、公告、社会监督</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F25CEF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A3_idx / A_idx</ns0:t>
            </ns0:r>
          </ns0:p>
        </ns0:tc>
      </ns0:tr>
      <ns0:tr ns2:paraId="31C0866E">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CD84CE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FD79B8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B1</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8BBBA7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项目识别、筛选与入库</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F5BFB76">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PPP项目识别、储备、筛选、遴选、入库管理</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0D083D5">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项目识别、项目储备库、入库、备选项目、适宜采用</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6A9FEC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B1_idx / B_idx</ns0:t>
            </ns0:r>
          </ns0:p>
        </ns0:tc>
      </ns0:tr>
      <ns0:tr ns2:paraId="6D2AB3B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49D4C1C">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AB6DFAC">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B1EC31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财政承受能力与物有所值论证</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3EB8D7F">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财承、VFM、支出责任、预算约束与财务测算</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CB660B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财政承受能力、物有所值、VFM、支出责任、预算约束</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7C1902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B2_idx / B_idx</ns0:t>
            </ns0:r>
          </ns0:p>
        </ns0:tc>
      </ns0:tr>
      <ns0:tr ns2:paraId="3B5121D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8A327A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31BEAC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B3</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974685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实施方案设计与审批程序</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C2B0F5C">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实施方案编制、审议、批复、备案、联审联批</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F24E25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实施方案、审批程序、审议、批复、备案、论证</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700B7ED">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B3_idx / B_idx</ns0:t>
            </ns0:r>
          </ns0:p>
        </ns0:tc>
      </ns0:tr>
      <ns0:tr ns2:paraId="4212289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3A4EAD6">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BF7E5E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C1</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BB80A6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社会资本采购与竞争配置</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14A1645">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招标采购、资格预审、评标、中标与竞争配置</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826A19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采购、公开招标、竞争性磋商、资格预审、中标</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DC1D291">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C1_idx / C_idx</ns0:t>
            </ns0:r>
          </ns0:p>
        </ns0:tc>
      </ns0:tr>
      <ns0:tr ns2:paraId="0350273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F8C712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0C7E01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A0067F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合同设计、权责配置与收益安排</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18E9ABD">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PPP合同、风险分担、回报机制、付费方式、收益安排</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FE8D8E6">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合同、权利义务、风险分担、回报机制、政府付费</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7915D8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C2_idx / C_idx</ns0:t>
            </ns0:r>
          </ns0:p>
        </ns0:tc>
      </ns0:tr>
      <ns0:tr ns2:paraId="7E43760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4AB805A">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C1824B1">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C3</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C80823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项目执行、绩效评价与运营维护</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F0279B2">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项目实施、建设推进、运营管理、绩效考核、后评价</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2A29D7E">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实施、执行、推进、运营、维护、绩效评价、验收</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ED9617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C3_idx / C_idx</ns0:t>
            </ns0:r>
          </ns0:p>
        </ns0:tc>
      </ns0:tr>
      <ns0:tr ns2:paraId="1F4BD8A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BD42CB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5194BB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D1</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D38B15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财政约束、债务底线与责任风险</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16699D2">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财政风险、债务约束、隐性债务、底线管理</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29DF10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财政风险、债务风险、隐性债务、底线管理、责任边界</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78DAA5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D1_idx / D_idx</ns0:t>
            </ns0:r>
          </ns0:p>
        </ns0:tc>
      </ns0:tr>
      <ns0:tr ns2:paraId="2215FA9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1AD889C">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4FF165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640E6B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违约失灵、终止补偿与退出机制</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EA3C543">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违约、提前终止、补偿、退出、重组与失败项目处置</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C81854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违约、终止、补偿、退出、解约、清算、风险处置</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4376EC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D2_idx / D_idx</ns0:t>
            </ns0:r>
          </ns0:p>
        </ns0:tc>
      </ns0:tr>
      <ns0:tr ns2:paraId="1075E2C1">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206E10D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ns0:t>
            </ns0:r>
          </ns0:p>
        </ns0:tc>
        <ns0:tc>
          <ns0:tcPr>
            <ns0:tcW ns0:w="93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0D1E66D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D3</ns0:t>
            </ns0:r>
          </ns0:p>
        </ns0:tc>
        <ns0:tc>
          <ns0:tcPr>
            <ns0:tcW ns0:w="1462"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4155960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监督检查、整改清退与问责纠偏</ns0:t>
            </ns0:r>
          </ns0:p>
        </ns0:tc>
        <ns0:tc>
          <ns0:tcPr>
            <ns0:tcW ns0:w="1956"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37C05E93">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监管、审计、整改、清退、责任追究与纠偏</ns0:t>
            </ns0:r>
          </ns0:p>
        </ns0:tc>
        <ns0:tc>
          <ns0:tcPr>
            <ns0:tcW ns0:w="207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62378D3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监管、审计、督查、整改、清退、问责、黑名单</ns0:t>
            </ns0:r>
          </ns0:p>
        </ns0:tc>
        <ns0:tc>
          <ns0:tcPr>
            <ns0:tcW ns0:w="135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34B5AA3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D3_idx / D_idx</ns0:t>
            </ns0:r>
          </ns0:p>
        </ns0:tc>
      </ns0:tr>
    </ns0:tbl>
    <ns0:p ns2:paraId="76019701">
      <ns0:pPr>
        <ns0:spacing ns0:before="0" ns0:after="0" ns0:line="420" ns0:lineRule="auto"/>
        <ns0:ind ns0:firstLine="420"/>
        <ns0:jc ns0:val="both"/>
      </ns0:pPr>
      <ns0:r>
        <ns0:t>结合政策文本量化与自动编码研究的进展可以看到，文本方法在公共管理研究中的合法性并不来自算法复杂度，而来自其是否能够稳定服务于制度测量。本文之所以使用主题映射、语义表示和自动编码，并不是为了把文本分析写成主模型，而是为了把政策语义压缩成可进入省级面板的治理测度变量，并为后文的机制解释提供更具可追踪性的制度维度。</ns0:t>
      </ns0:r>
    </ns0:p>
    <ns0:p ns2:paraId="61F15984">
      <ns0:pPr>
        <ns0:spacing ns0:before="60" ns0:after="60" ns0:line="360" ns0:lineRule="auto"/>
        <ns0:jc ns0:val="center"/>
      </ns0:pPr>
      <ns0:r>
        <ns0:drawing>
          <ns3:inline distT="0" distB="0" distL="0" distR="0">
            <ns3:extent cx="5577840" cy="3818890"/>
            <ns3:effectExtent l="0" t="0" r="0" b="0"/>
            <ns3:docPr id="1" name="image1.png"/>
            <ns3:cNvGraphicFramePr>
              <ns4:graphicFrameLocks noChangeAspect="1"/>
            </ns3:cNvGraphicFramePr>
            <ns4:graphic>
              <ns4:graphicData uri="http://schemas.openxmlformats.org/drawingml/2006/picture">
                <ns5:pic>
                  <ns5:nvPicPr>
                    <ns5:cNvPr id="1" name="image1.png"/>
                    <ns5:cNvPicPr>
                      <ns4:picLocks noChangeAspect="1"/>
                    </ns5:cNvPicPr>
                  </ns5:nvPicPr>
                  <ns5:blipFill>
                    <ns4:blip ns6:embed="rId4"/>
                    <ns4:stretch>
                      <ns4:fillRect/>
                    </ns4:stretch>
                  </ns5:blipFill>
                  <ns5:spPr>
                    <ns4:xfrm>
                      <ns4:off x="0" y="0"/>
                      <ns4:ext cx="5577840" cy="3819357"/>
                    </ns4:xfrm>
                    <ns4:prstGeom prst="rect">
                      <ns4:avLst/>
                    </ns4:prstGeom>
                  </ns5:spPr>
                </ns5:pic>
              </ns4:graphicData>
            </ns4:graphic>
          </ns3:inline>
        </ns0:drawing>
      </ns0:r>
    </ns0:p>
    <ns0:p ns2:paraId="408A08DA">
      <ns0:pPr>
        <ns0:spacing ns0:before="0" ns0:after="60" ns0:line="420" ns0:lineRule="auto"/>
        <ns0:jc ns0:val="center"/>
      </ns0:pPr>
      <ns0:r>
        <ns0:t>图1与表2共同说明了本文在研究设计上的一个基本立场：文本分析的价值不在于方法本身是否复杂，而在于它是否能够被组织成可核查、可聚合、可进入正式识别框架的治理测度。也正因如此，本文对BERTopic、词典扩展和相关文本处理方法的讨论，都严格控制在变量工程和机制解释所需的范围内，而不把它们写成主模型或主识别设计。</ns0:t>
      </ns0:r>
    </ns0:p>
    <ns0:p ns2:paraId="472CB685">
      <ns0:pPr>
        <ns0:spacing ns0:before="60" ns0:after="60" ns0:line="360" ns0:lineRule="auto"/>
        <ns0:jc ns0:val="center"/>
      </ns0:pPr>
      <ns0:r>
        <ns0:drawing>
          <ns3:inline distT="0" distB="0" distL="0" distR="0">
            <ns3:extent cx="5577840" cy="4684395"/>
            <ns3:effectExtent l="0" t="0" r="0" b="0"/>
            <ns3:docPr id="2" name="image2.png"/>
            <ns3:cNvGraphicFramePr>
              <ns4:graphicFrameLocks noChangeAspect="1"/>
            </ns3:cNvGraphicFramePr>
            <ns4:graphic>
              <ns4:graphicData uri="http://schemas.openxmlformats.org/drawingml/2006/picture">
                <ns5:pic>
                  <ns5:nvPicPr>
                    <ns5:cNvPr id="2" name="image2.png"/>
                    <ns5:cNvPicPr>
                      <ns4:picLocks noChangeAspect="1"/>
                    </ns5:cNvPicPr>
                  </ns5:nvPicPr>
                  <ns5:blipFill>
                    <ns4:blip ns6:embed="rId5"/>
                    <ns4:stretch>
                      <ns4:fillRect/>
                    </ns4:stretch>
                  </ns5:blipFill>
                  <ns5:spPr>
                    <ns4:xfrm>
                      <ns4:off x="0" y="0"/>
                      <ns4:ext cx="5577840" cy="4684836"/>
                    </ns4:xfrm>
                    <ns4:prstGeom prst="rect">
                      <ns4:avLst/>
                    </ns4:prstGeom>
                  </ns5:spPr>
                </ns5:pic>
              </ns4:graphicData>
            </ns4:graphic>
          </ns3:inline>
        </ns0:drawing>
      </ns0:r>
    </ns0:p>
    <ns0:p ns2:paraId="6620257A">
      <ns0:pPr>
        <ns0:spacing ns0:before="100" ns0:after="40" ns0:line="420" ns0:lineRule="auto"/>
        <ns0:jc ns0:val="left"/>
      </ns0:pPr>
      <ns0:r>
        <ns0:t>4.3 处理变量、结果变量与控制变量</ns0:t>
      </ns0:r>
    </ns0:p>
    <ns0:p ns2:paraId="77BE2D78">
      <ns0:pPr>
        <ns0:spacing ns0:before="0" ns0:after="0" ns0:line="420" ns0:lineRule="auto"/>
        <ns0:ind ns0:firstLine="420"/>
        <ns0:jc ns0:val="both"/>
      </ns0:pPr>
      <ns0:r>
        <ns0:t>在主识别部分，本文的核心处理变量是treat_share。该变量以省—年为单位，由城市—年处理字段聚合而成，精确定义为treat_share_{pt} = treated_city_count_{pt} / city_n = (1/N_{pt}) × Σ_i treat_i，用于度量某一省份在某一年份受到数字化改革覆盖的处理强度。与之对应，post_t = 1[t&gt;=2016]，did_intensity_{pt} = post_t × treat_share_{pt}，did_any_{pt} = 1(did_intensity_{pt} &gt; 0)；后两者仅作为替代处理口径或稳健性检验使用，不进入全文主结论。这样处理的原因在于，treat_share能够更直接地反映改革在省级治理层面的覆盖程度和处理强度，也与后文多期DID/TWFE主识别保持一致。</ns0:t>
      </ns0:r>
    </ns0:p>
    <ns0:p ns2:paraId="7EA9AC05">
      <ns0:pPr>
        <ns0:spacing ns0:before="0" ns0:after="0" ns0:line="420" ns0:lineRule="auto"/>
        <ns0:ind ns0:firstLine="420"/>
        <ns0:jc ns0:val="both"/>
      </ns0:pPr>
      <ns0:r>
        <ns0:t>根据第5.1节并表工作簿中的“省份处理时点”工作表，当前口径下多数进入处理的省份首次处理年份为2016年，西藏为2017年；海南、青海和新疆生产建设兵团在当前口径下未进入处理。从文本工程到正式估计样本的流转为：1472份政策文本全文池，经统一筛选保留1307份正式DID文本文档样本，进一步聚合为288个省—年文本单元，再与正式V3主面板对接形成266个省—年观察值，其中262个进入正式回归样本，另有10000个项目级扩展观察值用于第5.7节。更谨慎地说，treat_share在正文中的含义应表述为由城市处理状态聚合形成的省级政策暴露强度，而不是单个城市层面的标准ATT处理指示。本轮修订随附附录A，补充提供province-year层面的treat_share重构表、处理时点表、266→262删样清单以及处理变量精确定义，以增强当前稿件的可复核性；但城市级处理名单和原始阈值底表未在当前仓库显式落地，因此本文只能将这一部分说明为省级重构意义上的复核材料，而不夸大为完整城市级复现包。</ns0:t>
      </ns0:r>
    </ns0:p>
    <ns0:p ns2:paraId="450D60BB">
      <ns0:pPr>
        <ns0:spacing ns0:before="0" ns0:after="0" ns0:line="420" ns0:lineRule="auto"/>
        <ns0:ind ns0:firstLine="420"/>
        <ns0:jc ns0:val="both"/>
      </ns0:pPr>
      <ns0:r>
        <ns0:t>结果变量方面，本文将PPP治理结果区分为结构性结果和辅助质量结果两类。结构性结果包括exec_share与proc_share，分别对应执行阶段占比和采购阶段占比，是全文最核心的结果变量。之所以将其置于主位，原因在于这两个指标更直接地刻画PPP项目由前端识别、采购组织向执行推进的结构变化，也更贴近政府治理过程和政策执行效率的现实含义。相比之下，ppp_quality_zindex作为综合治理质量指标，只在辅助层面讨论。当前正式结果表明，该指标虽存在正向信号，但稳定性不足，因此本文将其明确降格处理，不把它写成全文中心结论。</ns0:t>
      </ns0:r>
    </ns0:p>
    <ns0:p ns2:paraId="15049706">
      <ns0:pPr>
        <ns0:spacing ns0:before="0" ns0:after="0" ns0:line="420" ns0:lineRule="auto"/>
        <ns0:ind ns0:firstLine="420"/>
        <ns0:jc ns0:val="both"/>
      </ns0:pPr>
      <ns0:r>
        <ns0:t>控制变量方面，本文使用正式主面板中已经统一口径整理的省级经济社会特征变量，并结合文本覆盖相关控制量进行估计。其中，text_missing、文本覆盖规模和文档数量等变量主要用于控制文本观测差异可能带来的测度偏误，其他省级控制变量则按正式主面板统一规格进入回归。出于避免超出当前材料边界的考虑，本文不在正文中展开超出正式主面板说明范围之外的变量解释，具体定义见表3和正式主面板说明文件。</ns0:t>
      </ns0:r>
    </ns0:p>
    <ns0:p ns2:paraId="3448AB57">
      <ns0:pPr>
        <ns0:spacing ns0:before="0" ns0:after="0" ns0:line="420" ns0:lineRule="auto"/>
        <ns0:ind ns0:firstLine="420"/>
        <ns0:jc ns0:val="both"/>
      </ns0:pPr>
      <ns0:r>
        <ns0:t>需要特别指出的是，文档级变量、省—年级文本变量与省级主面板变量在本文中具有明确层级边界。A/B/C/D指数和主题变量只有在完成省—年聚合并进入正式主面板后，才参与后文的机制解释和扩展分析；项目级风险变量则仅在第5.7节中单独使用。不同层级之间的区分，是本文避免“同名变量跨层混用”的基本前提。</ns0:t>
      </ns0:r>
    </ns0:p>
    <ns0:p ns2:paraId="2627F338">
      <ns0:pPr>
        <ns0:spacing ns0:before="0" ns0:after="0" ns0:line="420" ns0:lineRule="auto"/>
        <ns0:ind ns0:firstLine="420"/>
        <ns0:jc ns0:val="both"/>
      </ns0:pPr>
      <ns0:r>
        <ns0:t>也正因为存在这一层级边界，本文将文本变量、面板变量与项目级结构变量分别放入不同分析模块：前者服务于测度与解释，中者承担主识别，后者只用于扩展分析。这一安排既回应了变量工程的需要，也避免了不同层级信息在同一结果方程中的不当混用。</ns0:t>
      </ns0:r>
    </ns0:p>
    <ns0:p ns2:paraId="33DB0F42">
      <ns0:pPr>
        <ns0:spacing ns0:before="100" ns0:after="40" ns0:line="420" ns0:lineRule="auto"/>
        <ns0:jc ns0:val="left"/>
      </ns0:pPr>
      <ns0:r>
        <ns0:t>4.4 计量模型与识别思路</ns0:t>
      </ns0:r>
    </ns0:p>
    <ns0:p ns2:paraId="3B3BC3BA">
      <ns0:pPr>
        <ns0:spacing ns0:before="0" ns0:after="0" ns0:line="420" ns0:lineRule="auto"/>
        <ns0:ind ns0:firstLine="420"/>
        <ns0:jc ns0:val="both"/>
      </ns0:pPr>
      <ns0:r>
        <ns0:t>本文的主识别模型是以treat_share为核心处理变量的多期DID/TWFE模型。形式上，本文估计的核心方程可以写为：</ns0:t>
      </ns0:r>
    </ns0:p>
    <ns0:p ns2:paraId="7EA9AC05">
      <ns0:pPr>
        <ns0:spacing ns0:before="0" ns0:after="0" ns0:line="420" ns0:lineRule="auto"/>
        <ns0:ind ns0:firstLine="420"/>
        <ns0:jc ns0:val="both"/>
      </ns0:pPr>
      <ns0:r>
        <ns0:t>Y_pt = β treat_share_pt + γ'X_pt + μ_p + λ_t + ε_pt</ns0:t>
      </ns0:r>
    </ns0:p>
    <ns0:p ns2:paraId="7EA9AC05">
      <ns0:pPr>
        <ns0:spacing ns0:before="0" ns0:after="0" ns0:line="420" ns0:lineRule="auto"/>
        <ns0:ind ns0:firstLine="420"/>
        <ns0:jc ns0:val="both"/>
      </ns0:pPr>
      <ns0:r>
        <ns0:t>其中，Y_pt分别表示exec_share、proc_share和ppp_quality_zindex等省级结果变量；treat_share_pt表示省份p在年份t所对应的数字化改革暴露强度；X_pt为正式主面板中统一口径的控制变量；μ_p和λ_t分别表示地区固定效应与年份固定效应；标准误在省级层面聚类。之所以将这一设定作为唯一主识别，原因有二：一是当前正式结果和写作总控文档都明确将treat_share多期DID/TWFE设定为全文唯一主模型；二是这一模型与本文“改革冲击—治理过程变化—推进结构调整”的问题结构最为契合。</ns0:t>
      </ns0:r>
    </ns0:p>
    <ns0:p ns2:paraId="1A6E6399">
      <ns0:pPr>
        <ns0:spacing ns0:before="0" ns0:after="0" ns0:line="420" ns0:lineRule="auto"/>
        <ns0:ind ns0:firstLine="420"/>
        <ns0:jc ns0:val="both"/>
      </ns0:pPr>
      <ns0:r>
        <ns0:t>这一模型中的β更稳妥地应解释为：在控制地区固定效应、年份固定效应和一组正式主面板控制变量后，省级数字化改革暴露强度与PPP推进结构或治理结果之间的平均条件关联，而不是严格意义上的单一处理平均效应。原因在于，treat_share是连续暴露强度变量，处理批次又高度集中在2016年前后，did_any与did_intensity只能承担替代处理口径和诊断功能。就当前样本而言，正式主面板覆盖2014—2022年、31个省级单元与新疆生产建设兵团，共266个省—年观察值，其中262个进入正式主识别样本；后文所有主结果均以这一口径为基准锚点。</ns0:t>
      </ns0:r>
    </ns0:p>
    <ns0:p ns2:paraId="774D7076">
      <ns0:pPr>
        <ns0:spacing ns0:before="0" ns0:after="0" ns0:line="420" ns0:lineRule="auto"/>
        <ns0:ind ns0:firstLine="420"/>
        <ns0:jc ns0:val="both"/>
      </ns0:pPr>
      <ns0:r>
        <ns0:t>需要强调的是，本文对识别强度的处理是克制的。事件研究在本文中只用于说明动态路径和识别边界，不用于声称平行趋势已经成立。考虑到错位处理时点下TWFE动态系数的解释存在额外边界，趋势调整型DID、逐省剔除和wild cluster bootstrap共同承担主识别防守功能；did_any与did_intensity仅作为连续处理变量的替代口径；stack DID、cohort ATT、PSM-DID、DML、候选工具变量和其他替代估计只保留为边界诊断，不改变主识别结构（Sun &amp; Abraham, 2021）。</ns0:t>
      </ns0:r>
    </ns0:p>
    <ns0:p ns2:paraId="3C96DB9E">
      <ns0:pPr>
        <ns0:spacing ns0:before="0" ns0:after="0" ns0:line="420" ns0:lineRule="auto"/>
        <ns0:ind ns0:firstLine="420"/>
        <ns0:jc ns0:val="both"/>
      </ns0:pPr>
      <ns0:r>
        <ns0:t>从公共管理研究的角度看，这样的识别安排意味着本文并不试图用更复杂的方法覆盖一切疑问，而是将不同证据放在各自恰当的位置上：主识别回答“改革是否首先改善了推进结构”，政策文本证据线索回答“改革首先改动了哪些治理接口与制度表达”，稳健性检验回答“主结果是否在更严格设定下仍可防守”，扩展分析回答“文本与结构变量是否还能服务于项目级辅助识别”。这种分层安排，构成了后文实证分析的基本结构。</ns0:t>
      </ns0:r>
    </ns0:p>
    <ns0:p ns2:paraId="7EA9AC05">
      <ns0:pPr>
        <ns0:spacing ns0:before="0" ns0:after="0" ns0:line="420" ns0:lineRule="auto"/>
        <ns0:ind ns0:firstLine="420"/>
        <ns0:jc ns0:val="both"/>
      </ns0:pPr>
      <ns0:r>
        <ns0:t>同时需要说明，机制与异质性部分主要依托当前项目归档中的既有正式辅助结果，其任务在于补充解释和提示适用边界，而不与表4主识别处于同一证据层级。尤其是A/B/C/D维度与treat_share都来自政策文本工程，故其更适合被理解为制度表达和治理重心重分布的文本证据线索，而不是与表4并列的第二套识别体系。本文因此不将这些结果写成第二主识别，而只在其能够支持的范围内作辅助性讨论。</ns0:t>
      </ns0:r>
    </ns0:p>
    <ns0:p ns2:paraId="41817273">
      <ns0:pPr>
        <ns0:spacing ns0:before="160" ns0:after="60" ns0:line="420" ns0:lineRule="auto"/>
        <ns0:jc ns0:val="left"/>
      </ns0:pPr>
      <ns0:r>
        <ns0:t>5 实证结果与分析</ns0:t>
      </ns0:r>
    </ns0:p>
    <ns0:p ns2:paraId="573CDD58">
      <ns0:pPr>
        <ns0:spacing ns0:before="100" ns0:after="40" ns0:line="420" ns0:lineRule="auto"/>
        <ns0:jc ns0:val="left"/>
      </ns0:pPr>
      <ns0:r>
        <ns0:t>5.1 描述性事实与治理过程背景</ns0:t>
      </ns0:r>
    </ns0:p>
    <ns0:p ns2:paraId="3909E3AF">
      <ns0:pPr>
        <ns0:spacing ns0:before="0" ns0:after="0" ns0:line="420" ns0:lineRule="auto"/>
        <ns0:ind ns0:firstLine="420"/>
        <ns0:jc ns0:val="both"/>
      </ns0:pPr>
      <ns0:r>
        <ns0:t>在进入基准回归之前，有必要先考察样本中的治理过程事实，以便将后文的识别结果置于更具体的项目推进背景之中。这里的任务不是证明因果关系，而是交代PPP项目阶段结构随时间和处理状态变化的基本轮廓。</ns0:t>
      </ns0:r>
    </ns0:p>
    <ns0:p ns2:paraId="5F796F87">
      <ns0:pPr>
        <ns0:spacing ns0:before="0" ns0:after="0" ns0:line="420" ns0:lineRule="auto"/>
        <ns0:ind ns0:firstLine="420"/>
        <ns0:jc ns0:val="both"/>
      </ns0:pPr>
      <ns0:r>
        <ns0:t>图2展示了PPP项目推进状态空间与结构演变。可以看到，在样本期内，PPP项目阶段分布并非静态不变，而是存在从采购向执行转移的总体趋势。这一现象本身不能被直接解释为数字化改革的因果结果，但它提示我们，项目推进结构确实是一个能够反映治理过程变化、且具备经验识别价值的结果维度。对本文而言，这意味着将exec_share和proc_share置于主结果位置具有现实依据，而不是仅由计量便利所驱动。</ns0:t>
      </ns0:r>
    </ns0:p>
    <ns0:p ns2:paraId="372507D8">
      <ns0:pPr>
        <ns0:spacing ns0:before="60" ns0:after="60" ns0:line="360" ns0:lineRule="auto"/>
        <ns0:jc ns0:val="center"/>
      </ns0:pPr>
      <ns0:r>
        <ns0:drawing>
          <ns3:inline distT="0" distB="0" distL="0" distR="0">
            <ns3:extent cx="5577840" cy="4693920"/>
            <ns3:effectExtent l="0" t="0" r="0" b="0"/>
            <ns3:docPr id="3" name="image3.png"/>
            <ns3:cNvGraphicFramePr>
              <ns4:graphicFrameLocks noChangeAspect="1"/>
            </ns3:cNvGraphicFramePr>
            <ns4:graphic>
              <ns4:graphicData uri="http://schemas.openxmlformats.org/drawingml/2006/picture">
                <ns5:pic>
                  <ns5:nvPicPr>
                    <ns5:cNvPr id="3" name="image3.png"/>
                    <ns5:cNvPicPr>
                      <ns4:picLocks noChangeAspect="1"/>
                    </ns5:cNvPicPr>
                  </ns5:nvPicPr>
                  <ns5:blipFill>
                    <ns4:blip ns6:embed="rId6"/>
                    <ns4:stretch>
                      <ns4:fillRect/>
                    </ns4:stretch>
                  </ns5:blipFill>
                  <ns5:spPr>
                    <ns4:xfrm>
                      <ns4:off x="0" y="0"/>
                      <ns4:ext cx="5577840" cy="4694250"/>
                    </ns4:xfrm>
                    <ns4:prstGeom prst="rect">
                      <ns4:avLst/>
                    </ns4:prstGeom>
                  </ns5:spPr>
                </ns5:pic>
              </ns4:graphicData>
            </ns4:graphic>
          </ns3:inline>
        </ns0:drawing>
      </ns0:r>
    </ns0:p>
    <ns0:p ns2:paraId="0CE02DDB">
      <ns0:pPr>
        <ns0:spacing ns0:before="0" ns0:after="60" ns0:line="420" ns0:lineRule="auto"/>
        <ns0:jc ns0:val="center"/>
      </ns0:pPr>
      <ns0:r>
        <ns0:t>作为补充，图3进一步展示了处理组与对照组在核心变量上的分布差异。雨云图所呈现的是分布层面的背景事实：不同组别在执行阶段占比、采购阶段占比及相关治理结果上存在可观测差异，但这种差异本身并不识别改革效应，也不排除地区基础条件、时间趋势和样本结构的共同影响。图3的作用因此是辅助性的，它帮助说明后文进行面板识别的必要性，同时提醒读者不要将描述性差异直接等同于制度冲击的净效应。</ns0:t>
      </ns0:r>
    </ns0:p>
    <ns0:p ns2:paraId="4766A052">
      <ns0:pPr>
        <ns0:spacing ns0:before="0" ns0:after="0" ns0:line="420" ns0:lineRule="auto"/>
        <ns0:ind ns0:firstLine="420"/>
        <ns0:jc ns0:val="both"/>
      </ns0:pPr>
      <ns0:r>
        <ns0:t>由此可见，描述性事实层面已经呈现出两个值得继续检验的线索：一是PPP项目推进结构存在明显的阶段性变化，二是处理组与对照组在结果分布上并不完全相同。对公共管理研究而言，这意味着数字化改革很可能首先作用于项目推进过程本身；但同样需要强调，这一节只能提供治理背景，不承担因果证明功能。</ns0:t>
      </ns0:r>
    </ns0:p>
    <ns0:p ns2:paraId="3D8A4E4F">
      <ns0:pPr>
        <ns0:spacing ns0:before="60" ns0:after="60" ns0:line="360" ns0:lineRule="auto"/>
        <ns0:jc ns0:val="center"/>
      </ns0:pPr>
      <ns0:r>
        <ns0:drawing>
          <ns3:inline distT="0" distB="0" distL="0" distR="0">
            <ns3:extent cx="5577840" cy="3542030"/>
            <ns3:effectExtent l="0" t="0" r="0" b="0"/>
            <ns3:docPr id="4" name="image4.png"/>
            <ns3:cNvGraphicFramePr>
              <ns4:graphicFrameLocks noChangeAspect="1"/>
            </ns3:cNvGraphicFramePr>
            <ns4:graphic>
              <ns4:graphicData uri="http://schemas.openxmlformats.org/drawingml/2006/picture">
                <ns5:pic>
                  <ns5:nvPicPr>
                    <ns5:cNvPr id="4" name="image4.png"/>
                    <ns5:cNvPicPr>
                      <ns4:picLocks noChangeAspect="1"/>
                    </ns5:cNvPicPr>
                  </ns5:nvPicPr>
                  <ns5:blipFill>
                    <ns4:blip ns6:embed="rId7"/>
                    <ns4:stretch>
                      <ns4:fillRect/>
                    </ns4:stretch>
                  </ns5:blipFill>
                  <ns5:spPr>
                    <ns4:xfrm>
                      <ns4:off x="0" y="0"/>
                      <ns4:ext cx="5577840" cy="3542266"/>
                    </ns4:xfrm>
                    <ns4:prstGeom prst="rect">
                      <ns4:avLst/>
                    </ns4:prstGeom>
                  </ns5:spPr>
                </ns5:pic>
              </ns4:graphicData>
            </ns4:graphic>
          </ns3:inline>
        </ns0:drawing>
      </ns0:r>
    </ns0:p>
    <ns0:p ns2:paraId="4C36B422">
      <ns0:pPr>
        <ns0:spacing ns0:before="60" ns0:after="60" ns0:line="360" ns0:lineRule="auto"/>
        <ns0:jc ns0:val="center"/>
        <ns0:rPr>
          <ns0:rFonts ns0:hint="eastAsia" ns0:eastAsia="宋体"/>
          <ns0:lang ns0:eastAsia="zh-CN"/>
        </ns0:rPr>
      </ns0:pPr>
      <ns0:r>
        <ns0:rPr>
          <ns0:rFonts ns0:hint="eastAsia" ns0:eastAsia="宋体"/>
          <ns0:lang ns0:eastAsia="zh-CN"/>
        </ns0:rPr>
        <ns0:drawing>
          <ns3:inline distT="0" distB="0" distL="114300" distR="114300">
            <ns3:extent cx="5266055" cy="4570095"/>
            <ns3:effectExtent l="0" t="0" r="4445" b="1905"/>
            <ns3:docPr id="5" name="图片 5" descr="PPP_BERTopic主题相似性矩阵_官方GnBu冰蓝版"/>
            <ns3:cNvGraphicFramePr>
              <ns4:graphicFrameLocks noChangeAspect="1"/>
            </ns3:cNvGraphicFramePr>
            <ns4:graphic>
              <ns4:graphicData uri="http://schemas.openxmlformats.org/drawingml/2006/picture">
                <ns5:pic>
                  <ns5:nvPicPr>
                    <ns5:cNvPr id="5" name="图片 5" descr="PPP_BERTopic主题相似性矩阵_官方GnBu冰蓝版"/>
                    <ns5:cNvPicPr>
                      <ns4:picLocks noChangeAspect="1"/>
                    </ns5:cNvPicPr>
                  </ns5:nvPicPr>
                  <ns5:blipFill>
                    <ns4:blip ns6:embed="rId8"/>
                    <ns4:stretch>
                      <ns4:fillRect/>
                    </ns4:stretch>
                  </ns5:blipFill>
                  <ns5:spPr>
                    <ns4:xfrm>
                      <ns4:off x="0" y="0"/>
                      <ns4:ext cx="5266055" cy="4570095"/>
                    </ns4:xfrm>
                    <ns4:prstGeom prst="rect">
                      <ns4:avLst/>
                    </ns4:prstGeom>
                  </ns5:spPr>
                </ns5:pic>
              </ns4:graphicData>
            </ns4:graphic>
          </ns3:inline>
        </ns0:drawing>
      </ns0:r>
    </ns0:p>
    <ns0:p ns2:paraId="137712D3">
      <ns0:pPr>
        <ns0:spacing ns0:before="100" ns0:after="40" ns0:line="420" ns0:lineRule="auto"/>
        <ns0:jc ns0:val="left"/>
      </ns0:pPr>
      <ns0:r>
        <ns0:t>5.2 基准结果</ns0:t>
      </ns0:r>
    </ns0:p>
    <ns0:p ns2:paraId="480BBAA2">
      <ns0:pPr>
        <ns0:spacing ns0:before="0" ns0:after="0" ns0:line="420" ns0:lineRule="auto"/>
        <ns0:ind ns0:firstLine="420"/>
        <ns0:jc ns0:val="both"/>
      </ns0:pPr>
      <ns0:r>
        <ns0:t>在描述性事实之后，本文转向正式主识别，考察政务服务数字化改革是否以及在何种意义上改变了PPP项目推进结构。根据总控文档设定，这一部分构成全文的核心主证据，判断标准也必须服从“推进结构改善优先”的写作边界。</ns0:t>
      </ns0:r>
    </ns0:p>
    <ns0:p ns2:paraId="64C18C6B">
      <ns0:pPr>
        <ns0:spacing ns0:before="0" ns0:after="0" ns0:line="420" ns0:lineRule="auto"/>
        <ns0:ind ns0:firstLine="420"/>
        <ns0:jc ns0:val="both"/>
      </ns0:pPr>
      <ns0:r>
        <ns0:t>表4报告了基准多期DID/TWFE结果。结果显示，在地区和年份固定效应框架下，treat_share对exec_share的估计系数为0.3556，在1%水平上显著；对proc_share的估计系数为-0.4023，同样在1%水平上显著。两者共同指向同一个结论：在基准TWFE规格下，改革暴露强度较高的地区更可能出现由采购阶段向执行阶段的相对份额重组。更稳妥地说，这里识别到的是推进结构重组的平均条件关联，而不是数字化改革已经对PPP治理产生全面、稳定因果改善的证明。</ns0:t>
      </ns0:r>
    </ns0:p>
    <ns0:p ns2:paraId="7EA9AC05">
      <ns0:pPr>
        <ns0:spacing ns0:before="0" ns0:after="0" ns0:line="420" ns0:lineRule="auto"/>
        <ns0:ind ns0:firstLine="420"/>
        <ns0:jc ns0:val="both"/>
      </ns0:pPr>
      <ns0:r>
        <ns0:t>为回应份额型因变量的加总约束，本文进一步在与表4相同的262个正式估计观测上补充构造执行/采购对数比率指标log((exec_share+c)/(proc_share+c))。考虑到样本中存在零份额情形，本轮补充估计以执行阶段与采购阶段最小正份额的一半作为连续性修正，取c = 0.0034。在与表4一致的地区固定效应、年份固定效应、省级聚类和控制变量设定下，treat_share对该对数比率的估计系数为3.1916，标准误为1.4500，正态近似p = 0.0277。这一结果表明，改革暴露强度较高的地区更可能出现由采购阶段向执行阶段的相对份额重组；同时，将c改为最小正份额或固定值0.01、0.001后，系数方向均保持为正。鉴于该结果属于本轮新增补充估计，本文将其理解为份额型结果处理下的构成性补强，而不是替代正式主规格的第二主模型。</ns0:t>
      </ns0:r>
    </ns0:p>
    <ns0:p ns2:paraId="5714222D">
      <ns0:pPr>
        <ns0:spacing ns0:before="0" ns0:after="40" ns0:line="420" ns0:lineRule="auto"/>
        <ns0:jc ns0:val="center"/>
      </ns0:pPr>
      <ns0:r>
        <ns0:t>相较之下，ppp_quality_zindex的估计系数虽为正，但在统计上并不显著。这个结果具有明确的写作含义。它说明数字化改革并非完全没有改善综合治理质量的方向性信号，但这一信号不足以承担全文主结论。若将这一指标写成“数字化改革显著提升了PPP治理质量”，将超出当前正式结果所允许的证据边界。因此，本文仅将其解释为边际改善信号，而不把它提升到与推进结构结果并列的地位。</ns0:t>
      </ns0:r>
    </ns0:p>
    <ns0:tbl>
      <ns0:tblPr>
        <ns0:tblStyle ns0:val="2"/>
        <ns0:tblW ns0:w="8522"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932"/>
        <ns0:gridCol ns0:w="1878"/>
        <ns0:gridCol ns0:w="1369"/>
        <ns0:gridCol ns0:w="840"/>
        <ns0:gridCol ns0:w="525"/>
        <ns0:gridCol ns0:w="705"/>
        <ns0:gridCol ns0:w="1273"/>
      </ns0:tblGrid>
      <ns0:tr ns2:paraId="1D03221E">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0" ns0:type="auto"/>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02A7941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结果变量</ns0:t>
            </ns0:r>
          </ns0:p>
        </ns0:tc>
        <ns0:tc>
          <ns0:tcPr>
            <ns0:tcW ns0:w="187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4AB9DBA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treat_share系数</ns0:t>
            </ns0:r>
          </ns0:p>
        </ns0:tc>
        <ns0:tc>
          <ns0:tcPr>
            <ns0:tcW ns0:w="136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93CCC0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聚类标准误</ns0:t>
            </ns0:r>
          </ns0:p>
        </ns0:tc>
        <ns0:tc>
          <ns0:tcPr>
            <ns0:tcW ns0:w="84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2C24874">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p值</ns0:t>
            </ns0:r>
          </ns0:p>
        </ns0:tc>
        <ns0:tc>
          <ns0:tcPr>
            <ns0:tcW ns0:w="525"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0048F28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N</ns0:t>
            </ns0:r>
          </ns0:p>
        </ns0:tc>
        <ns0:tc>
          <ns0:tcPr>
            <ns0:tcW ns0:w="705"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E460DC9">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R²</ns0:t>
            </ns0:r>
          </ns0:p>
        </ns0:tc>
        <ns0:tc>
          <ns0:tcPr>
            <ns0:tcW ns0:w="1274"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04BB53AC">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写作口径</ns0:t>
            </ns0:r>
          </ns0:p>
        </ns0:tc>
      </ns0:tr>
      <ns0:tr ns2:paraId="709B1AE8">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F39A87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187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AD83FCE">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0.3556***</ns0:t>
            </ns0:r>
          </ns0:p>
        </ns0:tc>
        <ns0:tc>
          <ns0:tcPr>
            <ns0:tcW ns0:w="136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FC2CA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(0.1002)</ns0:t>
            </ns0:r>
          </ns0:p>
        </ns0:tc>
        <ns0:tc>
          <ns0:tcPr>
            <ns0:tcW ns0:w="84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01A549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&lt;0.001</ns0:t>
            </ns0:r>
          </ns0:p>
        </ns0:tc>
        <ns0:tc>
          <ns0:tcPr>
            <ns0:tcW ns0:w="525"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E1886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705"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E9CA3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0.839</ns0:t>
            </ns0:r>
          </ns0:p>
        </ns0:tc>
        <ns0:tc>
          <ns0:tcPr>
            <ns0:tcW ns0:w="1274"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4C62A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主结果</ns0:t>
            </ns0:r>
          </ns0:p>
        </ns0:tc>
      </ns0:tr>
      <ns0:tr ns2:paraId="601857DC">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A9744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187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96B65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-0.4023***</ns0:t>
            </ns0:r>
          </ns0:p>
        </ns0:tc>
        <ns0:tc>
          <ns0:tcPr>
            <ns0:tcW ns0:w="13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1FC6B6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(0.1019)</ns0:t>
            </ns0:r>
          </ns0:p>
        </ns0:tc>
        <ns0:tc>
          <ns0:tcPr>
            <ns0:tcW ns0:w="84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2B8E94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&lt;0.001</ns0:t>
            </ns0:r>
          </ns0:p>
        </ns0:tc>
        <ns0:tc>
          <ns0:tcPr>
            <ns0:tcW ns0:w="525"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9AA60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705"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7756C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0.844</ns0:t>
            </ns0:r>
          </ns0:p>
        </ns0:tc>
        <ns0:tc>
          <ns0:tcPr>
            <ns0:tcW ns0:w="127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866423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主结果</ns0:t>
            </ns0:r>
          </ns0:p>
        </ns0:tc>
      </ns0:tr>
      <ns0:tr ns2:paraId="1998A8F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932"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2C5078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ppp_quality_zindex</ns0:t>
            </ns0:r>
          </ns0:p>
        </ns0:tc>
        <ns0:tc>
          <ns0:tcPr>
            <ns0:tcW ns0:w="187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75CF37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0.5253</ns0:t>
            </ns0:r>
          </ns0:p>
        </ns0:tc>
        <ns0:tc>
          <ns0:tcPr>
            <ns0:tcW ns0:w="136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238AE2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(0.4214)</ns0:t>
            </ns0:r>
          </ns0:p>
        </ns0:tc>
        <ns0:tc>
          <ns0:tcPr>
            <ns0:tcW ns0:w="84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C623C6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0.213</ns0:t>
            </ns0:r>
          </ns0:p>
        </ns0:tc>
        <ns0:tc>
          <ns0:tcPr>
            <ns0:tcW ns0:w="52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86D033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70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9093F8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0.613</ns0:t>
            </ns0:r>
          </ns0:p>
        </ns0:tc>
        <ns0:tc>
          <ns0:tcPr>
            <ns0:tcW ns0:w="1274"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D049FE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方向为正但统计不稳</ns0:t>
            </ns0:r>
          </ns0:p>
        </ns0:tc>
      </ns0:tr>
    </ns0:tbl>
    <ns0:p ns2:paraId="362FEDA8">
      <ns0:pPr>
        <ns0:spacing ns0:before="0" ns0:after="0" ns0:line="420" ns0:lineRule="auto"/>
        <ns0:ind ns0:firstLine="420"/>
        <ns0:jc ns0:val="both"/>
      </ns0:pPr>
      <ns0:r>
        <ns0:t>基准结果对公共管理研究的含义在于，数字化改革的现实作用更接近于改善政府内部流程衔接和项目推进程序，而非立即改变所有治理结果。与此同时，也必须保持边界控制：表4及对数比率补充估计共同支持的是推进结构和治理过程的平均条件关联，不支持将改革表述为“全面改善PPP治理质量”的强断言。</ns0:t>
      </ns0:r>
    </ns0:p>
    <ns0:p ns2:paraId="25B069EB">
      <ns0:pPr>
        <ns0:spacing ns0:before="60" ns0:after="60" ns0:line="360" ns0:lineRule="auto"/>
        <ns0:jc ns0:val="center"/>
      </ns0:pPr>
      <ns0:r>
        <ns0:drawing>
          <ns3:inline distT="0" distB="0" distL="0" distR="0">
            <ns3:extent cx="5577840" cy="3520440"/>
            <ns3:effectExtent l="0" t="0" r="0" b="0"/>
            <ns3:docPr id="6" name="image6.png"/>
            <ns3:cNvGraphicFramePr>
              <ns4:graphicFrameLocks noChangeAspect="1"/>
            </ns3:cNvGraphicFramePr>
            <ns4:graphic>
              <ns4:graphicData uri="http://schemas.openxmlformats.org/drawingml/2006/picture">
                <ns5:pic>
                  <ns5:nvPicPr>
                    <ns5:cNvPr id="6" name="image6.png"/>
                    <ns5:cNvPicPr>
                      <ns4:picLocks noChangeAspect="1"/>
                    </ns5:cNvPicPr>
                  </ns5:nvPicPr>
                  <ns5:blipFill>
                    <ns4:blip ns6:embed="rId9"/>
                    <ns4:stretch>
                      <ns4:fillRect/>
                    </ns4:stretch>
                  </ns5:blipFill>
                  <ns5:spPr>
                    <ns4:xfrm>
                      <ns4:off x="0" y="0"/>
                      <ns4:ext cx="5577840" cy="3520734"/>
                    </ns4:xfrm>
                    <ns4:prstGeom prst="rect">
                      <ns4:avLst/>
                    </ns4:prstGeom>
                  </ns5:spPr>
                </ns5:pic>
              </ns4:graphicData>
            </ns4:graphic>
          </ns3:inline>
        </ns0:drawing>
      </ns0:r>
    </ns0:p>
    <ns0:p ns2:paraId="515580B5">
      <ns0:pPr>
        <ns0:spacing ns0:before="100" ns0:after="40" ns0:line="420" ns0:lineRule="auto"/>
        <ns0:jc ns0:val="left"/>
      </ns0:pPr>
      <ns0:r>
        <ns0:t>5.3 动态路径与识别边界</ns0:t>
      </ns0:r>
    </ns0:p>
    <ns0:p ns2:paraId="7EF0702B">
      <ns0:pPr>
        <ns0:spacing ns0:before="0" ns0:after="0" ns0:line="420" ns0:lineRule="auto"/>
        <ns0:ind ns0:firstLine="420"/>
        <ns0:jc ns0:val="both"/>
      </ns0:pPr>
      <ns0:r>
        <ns0:t>基准结果说明了主效应方向，但仍需要进一步观察改革影响在时间上的展开方式。为此，本文利用事件研究框架考察处理前后各时期的动态系数变化。不过，这一部分的定位必须严格控制在“动态路径与识别边界说明”之内，而不能被写成对平行趋势的强证明。</ns0:t>
      </ns0:r>
    </ns0:p>
    <ns0:p ns2:paraId="2E4A3FBC">
      <ns0:pPr>
        <ns0:spacing ns0:before="0" ns0:after="0" ns0:line="420" ns0:lineRule="auto"/>
        <ns0:ind ns0:firstLine="420"/>
        <ns0:jc ns0:val="both"/>
      </ns0:pPr>
      <ns0:r>
        <ns0:t>就正式动态长表而言，当前事件研究结果并不支持把这一部分写成与基准DID同向强化的动态展开。一方面，exec_share和proc_share在处理前&lt;=-2窗口上的领先项已经显示出统计显著，这意味着处理组与对照组在政策启动之前并非完全平稳；另一方面，处理后各期系数存在明显波动，且若干时期的方向与表4中的平均效应并不一致。更稳妥的解释因此不是“执行逐步上升、采购相应下降”，而是“动态诊断揭示了平均结构效应之外仍存在时序不平稳和解释边界”。</ns0:t>
      </ns0:r>
    </ns0:p>
    <ns0:p ns2:paraId="46BD8458">
      <ns0:pPr>
        <ns0:spacing ns0:before="0" ns0:after="40" ns0:line="420" ns0:lineRule="auto"/>
        <ns0:jc ns0:val="center"/>
      </ns0:pPr>
      <ns0:r>
        <ns0:t>这一结论并不推翻基准结果，但它对写作口径提出了更严格的约束。第一，事件研究在本文中只能作为时序路径和识别边界的诊断工具，而不能被写成平行趋势成立或效应逐步释放的强证据。第二，对于错位处理时点下的TWFE事件研究，动态系数本身并不天然等同于无偏的处理效应路径，因此正文必须避免把个别时期系数直接外推为稳定的改革演进逻辑（Sun &amp; Abraham, 2021）。第三，对ppp_quality_zindex而言，动态结果同样未形成稳定支持，因此更不能据此抬升为主结论。</ns0:t>
      </ns0:r>
    </ns0:p>
    <ns0:tbl>
      <ns0:tblPr>
        <ns0:tblStyle ns0:val="2"/>
        <ns0:tblW ns0:w="9919"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768"/>
        <ns0:gridCol ns0:w="1369"/>
        <ns0:gridCol ns0:w="1369"/>
        <ns0:gridCol ns0:w="1370"/>
        <ns0:gridCol ns0:w="1370"/>
        <ns0:gridCol ns0:w="1370"/>
        <ns0:gridCol ns0:w="1303"/>
      </ns0:tblGrid>
      <ns0:tr ns2:paraId="6F918967">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1417"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2A16FF00">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结果变量</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C566F41">
            <ns0:pPr>
              <ns0:snapToGrid ns0:val="0"/>
              <ns0:spacing ns0:before="0" ns0:after="0" ns0:line="240" ns0:lineRule="auto"/>
              <ns0:ind ns0:left="0" ns0:leftChars="0" ns0:right="0" ns0:rightChars="0" ns0:firstLine="0" ns0:firstLineChars="0"/>
              <ns0:jc ns0:val="center"/>
              <ns0:rPr>
                <ns0:rFonts ns0:ascii="Times New Roman" ns0:hAnsi="Times New Roman" ns0:eastAsia="宋体"/>
                <ns0:b/>
                <ns0:color ns0:val="000000"/>
                <ns0:sz ns0:val="22"/>
                <ns0:szCs ns0:val="22"/>
              </ns0:rPr>
            </ns0:pPr>
            <ns0:r>
              <ns0:rPr>
                <ns0:rFonts ns0:ascii="Times New Roman" ns0:hAnsi="Times New Roman" ns0:eastAsia="宋体"/>
                <ns0:b/>
                <ns0:color ns0:val="000000"/>
                <ns0:sz ns0:val="22"/>
                <ns0:szCs ns0:val="22"/>
              </ns0:rPr>
              <ns0:t>处理前</ns0:t>
            </ns0:r>
          </ns0:p>
          <ns0:p ns2:paraId="799CBD7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(&lt;=-2)</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3F8A62B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当期(0)</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AD48DF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后1期</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18BB3A1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后2期</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510F93A">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后3期及以上</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3D251CD9">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识别边界说明</ns0:t>
            </ns0:r>
          </ns0:p>
        </ns0:tc>
      </ns0:tr>
      <ns0:tr ns2:paraId="47E12AD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FFE6B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exec_share</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7FAD7E">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-0.1469** [p=0.013]</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E8C84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0.4751***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47A4DF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-0.4382***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81B88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-0.4357***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8E385F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-0.6041***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2B914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领先项存在显著性或边际显著性，仅能说明动态路径与识别边界</ns0:t>
            </ns0:r>
          </ns0:p>
        </ns0:tc>
      </ns0:tr>
      <ns0:tr ns2:paraId="7A75003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426FD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proc_share</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6F9762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0.2438***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72C74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-0.3350*** [p=0.010]</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02066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0.4835***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A97308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0.3831***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6E4C1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0.6803***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3731C7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领先项存在显著性或边际显著性，仅能说明动态路径与识别边界</ns0:t>
            </ns0:r>
          </ns0:p>
        </ns0:tc>
      </ns0:tr>
      <ns0:tr ns2:paraId="766ED1C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6BAD4C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ppp_quality_zindex</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3289E5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-0.1877* [p=0.051]</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40C6B3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0.7400** [p=0.013]</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B68013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-0.4226*** [p=0.002]</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D50944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-0.6742*** [p=&lt;0.001]</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FDFF16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-0.4672* [p=0.072]</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356E9A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领先项存在显著性或边际显著性，仅能说明动态路径与识别边界</ns0:t>
            </ns0:r>
          </ns0:p>
        </ns0:tc>
      </ns0:tr>
    </ns0:tbl>
    <ns0:p ns2:paraId="45D469A8">
      <ns0:pPr>
        <ns0:spacing ns0:before="60" ns0:after="60" ns0:line="360" ns0:lineRule="auto"/>
        <ns0:jc ns0:val="center"/>
      </ns0:pPr>
      <ns0:r>
        <ns0:drawing>
          <ns3:inline distT="0" distB="0" distL="0" distR="0">
            <ns3:extent cx="5577840" cy="5709920"/>
            <ns3:effectExtent l="0" t="0" r="0" b="0"/>
            <ns3:docPr id="7" name="image7.png"/>
            <ns3:cNvGraphicFramePr>
              <ns4:graphicFrameLocks noChangeAspect="1"/>
            </ns3:cNvGraphicFramePr>
            <ns4:graphic>
              <ns4:graphicData uri="http://schemas.openxmlformats.org/drawingml/2006/picture">
                <ns5:pic>
                  <ns5:nvPicPr>
                    <ns5:cNvPr id="7" name="image7.png"/>
                    <ns5:cNvPicPr>
                      <ns4:picLocks noChangeAspect="1"/>
                    </ns5:cNvPicPr>
                  </ns5:nvPicPr>
                  <ns5:blipFill>
                    <ns4:blip ns6:embed="rId10"/>
                    <ns4:stretch>
                      <ns4:fillRect/>
                    </ns4:stretch>
                  </ns5:blipFill>
                  <ns5:spPr>
                    <ns4:xfrm>
                      <ns4:off x="0" y="0"/>
                      <ns4:ext cx="5577840" cy="5710257"/>
                    </ns4:xfrm>
                    <ns4:prstGeom prst="rect">
                      <ns4:avLst/>
                    </ns4:prstGeom>
                  </ns5:spPr>
                </ns5:pic>
              </ns4:graphicData>
            </ns4:graphic>
          </ns3:inline>
        </ns0:drawing>
      </ns0:r>
    </ns0:p>
    <ns0:p ns2:paraId="443ECE0B">
      <ns0:pPr>
        <ns0:spacing ns0:before="0" ns0:after="60" ns0:line="420" ns0:lineRule="auto"/>
        <ns0:jc ns0:val="center"/>
      </ns0:pPr>
      <ns0:r>
        <ns0:t>从公共管理含义上看，这一结果提示制度启动时点、平均结构效应与分期动态系数不能被简单等同：改革可能确实改变了PPP推进结构，但这一变化未必表现为一条单调、平滑且与平均效应完全同向的动态轨迹。对本文而言，第5.3节的价值主要在于诚实呈现识别边界，并为后文更严格的防守性检验提供问题意识，而不是额外增强主结论。</ns0:t>
      </ns0:r>
    </ns0:p>
    <ns0:p ns2:paraId="2DD0A4AC">
      <ns0:pPr>
        <ns0:spacing ns0:before="0" ns0:after="0" ns0:line="420" ns0:lineRule="auto"/>
        <ns0:ind ns0:firstLine="420"/>
        <ns0:jc ns0:val="both"/>
      </ns0:pPr>
      <ns0:r>
        <ns0:t>基于上述动态路径与识别边界，后文进一步引入趋势调整型 DID、逐省剔除诊断和更保守的小样本推断，对推进结构结论在关键识别挑战下的稳定性进行防守性检验。</ns0:t>
      </ns0:r>
    </ns0:p>
    <ns0:p ns2:paraId="66E241E6">
      <ns0:pPr>
        <ns0:spacing ns0:before="100" ns0:after="40" ns0:line="420" ns0:lineRule="auto"/>
        <ns0:jc ns0:val="left"/>
      </ns0:pPr>
      <ns0:r>
        <ns0:t>5.4 政策文本证据线索与阶段性传导</ns0:t>
      </ns0:r>
    </ns0:p>
    <ns0:p ns2:paraId="24409220">
      <ns0:pPr>
        <ns0:spacing ns0:before="0" ns0:after="0" ns0:line="420" ns0:lineRule="auto"/>
        <ns0:ind ns0:firstLine="420"/>
        <ns0:jc ns0:val="both"/>
      </ns0:pPr>
      <ns0:r>
        <ns0:t>在确认数字化改革暴露强度与PPP推进结构重组存在稳定条件关联之后，进一步的问题是：这一变化更可能通过哪些治理环节显现。根据第三部分提出的理论框架，这里的核心不是寻找一条完整闭合的强中介链条，而是判断改革是否优先作用于数字治理接口和前端规范环境，并是否存在阶段性传导。考虑到A/B/C/D维度与treat_share都依托政策文本工程，本节不再将相关结果写成独立的“机制检验”，而改写为政策文本证据线索：其任务是说明制度表达和治理重心如何随改革推进而调整，而不是提供与表4并列的第二套因果识别。</ns0:t>
      </ns0:r>
    </ns0:p>
    <ns0:p ns2:paraId="5876C728">
      <ns0:pPr>
        <ns0:spacing ns0:before="0" ns0:after="0" ns0:line="420" ns0:lineRule="auto"/>
        <ns0:ind ns0:firstLine="420"/>
        <ns0:jc ns0:val="both"/>
        <ns0:rPr>
          <ns0:rFonts ns0:ascii="Times New Roman" ns0:hAnsi="Times New Roman" ns0:eastAsia="宋体"/>
          <ns0:sz ns0:val="24"/>
          <ns0:szCs ns0:val="24"/>
        </ns0:rPr>
      </ns0:pPr>
      <ns0:r>
        <ns0:t>表5汇总了这组文本证据线索。首先，treat_share对A维度指数的影响显著，表明数字治理接口与数据协同确实是最先响应的治理环节，这与理论部分提出的“接口优先”判断一致。其次，B维度和C维度对应的文本治理表达也出现联动变化，说明前端准入、采购安排和执行衔接的制度重心随着改革推进而发生了重分布。需要注意的是，这里的经验含义应理解为治理表达结构变化和制度重心转移，而不宜机械理解为所有单项指标均线性改善。尤其对B维度而言，相关系数的方向含义必须结合指标定义解释，正文不宜直接把它翻译为“前端规范显著增强”，更稳妥的写法是“前端规范与准入表达发生显著调整”。再次，在结果方程中，A维度相关项对exec_share和proc_share的系数方向与理论预期大体一致，但统计上并不稳定；链式路径中，B_idx→C_idx和C_idx→D_idx两段显著，而A_idx→B_idx不显著；严格中介分解的Sobel检验和Bootstrap区间均未支持稳定中介效应。</ns0:t>
      </ns0:r>
    </ns0:p>
    <ns0:p ns2:paraId="70ABB4FB">
      <ns0:pPr>
        <ns0:spacing ns0:before="0" ns0:after="0" ns0:line="420" ns0:lineRule="auto"/>
        <ns0:ind ns0:firstLine="420"/>
        <ns0:jc ns0:val="both"/>
        <ns0:rPr>
          <ns0:rFonts ns0:ascii="Times New Roman" ns0:hAnsi="Times New Roman" ns0:eastAsia="宋体"/>
          <ns0:sz ns0:val="24"/>
          <ns0:szCs ns0:val="24"/>
        </ns0:rPr>
      </ns0:pPr>
    </ns0:p>
    <ns0:p ns2:paraId="45F6FA7F">
      <ns0:pPr>
        <ns0:spacing ns0:before="0" ns0:after="0" ns0:line="420" ns0:lineRule="auto"/>
        <ns0:ind ns0:firstLine="420"/>
        <ns0:jc ns0:val="both"/>
        <ns0:rPr>
          <ns0:rFonts ns0:ascii="Times New Roman" ns0:hAnsi="Times New Roman" ns0:eastAsia="宋体"/>
          <ns0:sz ns0:val="24"/>
          <ns0:szCs ns0:val="24"/>
        </ns0:rPr>
      </ns0:pPr>
    </ns0:p>
    <ns0:p ns2:paraId="1A020118">
      <ns0:pPr>
        <ns0:spacing ns0:before="0" ns0:after="0" ns0:line="420" ns0:lineRule="auto"/>
        <ns0:ind ns0:firstLine="420"/>
        <ns0:jc ns0:val="both"/>
        <ns0:rPr>
          <ns0:rFonts ns0:ascii="Times New Roman" ns0:hAnsi="Times New Roman" ns0:eastAsia="宋体"/>
          <ns0:sz ns0:val="24"/>
          <ns0:szCs ns0:val="24"/>
        </ns0:rPr>
      </ns0:pPr>
    </ns0:p>
    <ns0:p ns2:paraId="0CB0F5DE">
      <ns0:pPr>
        <ns0:spacing ns0:before="0" ns0:after="0" ns0:line="420" ns0:lineRule="auto"/>
        <ns0:ind ns0:firstLine="420"/>
        <ns0:jc ns0:val="both"/>
        <ns0:rPr>
          <ns0:rFonts ns0:ascii="Times New Roman" ns0:hAnsi="Times New Roman" ns0:eastAsia="宋体"/>
          <ns0:sz ns0:val="24"/>
          <ns0:szCs ns0:val="24"/>
        </ns0:rPr>
      </ns0:pPr>
    </ns0:p>
    <ns0:p ns2:paraId="52D7C45B">
      <ns0:pPr>
        <ns0:spacing ns0:before="0" ns0:after="0" ns0:line="420" ns0:lineRule="auto"/>
        <ns0:ind ns0:firstLine="420"/>
        <ns0:jc ns0:val="both"/>
        <ns0:rPr>
          <ns0:rFonts ns0:ascii="Times New Roman" ns0:hAnsi="Times New Roman" ns0:eastAsia="宋体"/>
          <ns0:sz ns0:val="24"/>
          <ns0:szCs ns0:val="24"/>
        </ns0:rPr>
      </ns0:pPr>
    </ns0:p>
    <ns0:p ns2:paraId="688846C3">
      <ns0:pPr>
        <ns0:spacing ns0:before="0" ns0:after="0" ns0:line="420" ns0:lineRule="auto"/>
        <ns0:ind ns0:firstLine="420"/>
        <ns0:jc ns0:val="both"/>
        <ns0:rPr>
          <ns0:rFonts ns0:ascii="Times New Roman" ns0:hAnsi="Times New Roman" ns0:eastAsia="宋体"/>
          <ns0:sz ns0:val="24"/>
          <ns0:szCs ns0:val="24"/>
        </ns0:rPr>
      </ns0:pPr>
    </ns0:p>
    <ns0:p ns2:paraId="2710B73D">
      <ns0:pPr>
        <ns0:spacing ns0:before="0" ns0:after="0" ns0:line="420" ns0:lineRule="auto"/>
        <ns0:ind ns0:firstLine="420"/>
        <ns0:jc ns0:val="both"/>
        <ns0:rPr>
          <ns0:rFonts ns0:ascii="Times New Roman" ns0:hAnsi="Times New Roman" ns0:eastAsia="宋体"/>
          <ns0:sz ns0:val="24"/>
          <ns0:szCs ns0:val="24"/>
        </ns0:rPr>
      </ns0:pPr>
    </ns0:p>
    <ns0:p ns2:paraId="5F78348B">
      <ns0:pPr>
        <ns0:spacing ns0:before="0" ns0:after="0" ns0:line="420" ns0:lineRule="auto"/>
        <ns0:ind ns0:firstLine="420"/>
        <ns0:jc ns0:val="both"/>
        <ns0:rPr>
          <ns0:rFonts ns0:ascii="Times New Roman" ns0:hAnsi="Times New Roman" ns0:eastAsia="宋体"/>
          <ns0:sz ns0:val="24"/>
          <ns0:szCs ns0:val="24"/>
        </ns0:rPr>
      </ns0:pPr>
    </ns0:p>
    <ns0:p ns2:paraId="187C13EB">
      <ns0:pPr>
        <ns0:spacing ns0:before="0" ns0:after="0" ns0:line="420" ns0:lineRule="auto"/>
        <ns0:ind ns0:firstLine="420"/>
        <ns0:jc ns0:val="both"/>
        <ns0:rPr>
          <ns0:rFonts ns0:ascii="Times New Roman" ns0:hAnsi="Times New Roman" ns0:eastAsia="宋体"/>
          <ns0:sz ns0:val="24"/>
          <ns0:szCs ns0:val="24"/>
        </ns0:rPr>
      </ns0:pPr>
    </ns0:p>
    <ns0:p ns2:paraId="1DAA1B29">
      <ns0:pPr>
        <ns0:spacing ns0:before="0" ns0:after="0" ns0:line="420" ns0:lineRule="auto"/>
        <ns0:ind ns0:firstLine="420"/>
        <ns0:jc ns0:val="both"/>
        <ns0:rPr>
          <ns0:rFonts ns0:ascii="Times New Roman" ns0:hAnsi="Times New Roman" ns0:eastAsia="宋体"/>
          <ns0:sz ns0:val="24"/>
          <ns0:szCs ns0:val="24"/>
        </ns0:rPr>
      </ns0:pPr>
    </ns0:p>
    <ns0:p ns2:paraId="103A39A0">
      <ns0:pPr>
        <ns0:spacing ns0:before="0" ns0:after="0" ns0:line="420" ns0:lineRule="auto"/>
        <ns0:ind ns0:firstLine="420"/>
        <ns0:jc ns0:val="both"/>
        <ns0:rPr>
          <ns0:rFonts ns0:ascii="Times New Roman" ns0:hAnsi="Times New Roman" ns0:eastAsia="宋体"/>
          <ns0:sz ns0:val="24"/>
          <ns0:szCs ns0:val="24"/>
        </ns0:rPr>
      </ns0:pPr>
    </ns0:p>
    <ns0:p ns2:paraId="6E9261C9">
      <ns0:pPr>
        <ns0:spacing ns0:before="0" ns0:after="0" ns0:line="420" ns0:lineRule="auto"/>
        <ns0:ind ns0:firstLine="420"/>
        <ns0:jc ns0:val="both"/>
        <ns0:rPr>
          <ns0:rFonts ns0:ascii="Times New Roman" ns0:hAnsi="Times New Roman" ns0:eastAsia="宋体"/>
          <ns0:sz ns0:val="24"/>
          <ns0:szCs ns0:val="24"/>
        </ns0:rPr>
      </ns0:pPr>
    </ns0:p>
    <ns0:p ns2:paraId="02FB14A3">
      <ns0:pPr>
        <ns0:spacing ns0:before="0" ns0:after="0" ns0:line="420" ns0:lineRule="auto"/>
        <ns0:ind ns0:firstLine="420"/>
        <ns0:jc ns0:val="both"/>
        <ns0:rPr>
          <ns0:rFonts ns0:ascii="Times New Roman" ns0:hAnsi="Times New Roman" ns0:eastAsia="宋体"/>
          <ns0:sz ns0:val="24"/>
          <ns0:szCs ns0:val="24"/>
        </ns0:rPr>
      </ns0:pPr>
    </ns0:p>
    <ns0:p ns2:paraId="40F027FD">
      <ns0:pPr>
        <ns0:spacing ns0:before="0" ns0:after="0" ns0:line="420" ns0:lineRule="auto"/>
        <ns0:ind ns0:firstLine="420"/>
        <ns0:jc ns0:val="both"/>
        <ns0:rPr>
          <ns0:rFonts ns0:ascii="Times New Roman" ns0:hAnsi="Times New Roman" ns0:eastAsia="宋体"/>
          <ns0:sz ns0:val="24"/>
          <ns0:szCs ns0:val="24"/>
        </ns0:rPr>
      </ns0:pPr>
    </ns0:p>
    <ns0:p ns2:paraId="4887AC82">
      <ns0:pPr>
        <ns0:spacing ns0:before="0" ns0:after="0" ns0:line="420" ns0:lineRule="auto"/>
        <ns0:jc ns0:val="both"/>
        <ns0:rPr>
          <ns0:rFonts ns0:ascii="Times New Roman" ns0:hAnsi="Times New Roman" ns0:eastAsia="宋体"/>
          <ns0:sz ns0:val="24"/>
          <ns0:szCs ns0:val="24"/>
        </ns0:rPr>
      </ns0:pPr>
    </ns0:p>
    <ns0:p ns2:paraId="76CA5098">
      <ns0:pPr>
        <ns0:spacing ns0:before="0" ns0:after="40" ns0:line="420" ns0:lineRule="auto"/>
        <ns0:jc ns0:val="center"/>
      </ns0:pPr>
      <ns0:r>
        <ns0:t>综合来看，当前证据更支持“接口优先、前端规范先行、局部链条成立”的判断，而不支持“完整稳定的强中介链条已经建立”。这一点需要明确写出。否则，文本证据部分很容易被误写成一个比数据更完整的故事。对本文而言，较为稳妥的表述应是：数字化改革首先改变了政府接口、数据协同和前端程序环境，并伴随采购—执行治理维度的阶段性响应；但这些变化主要体现为治理表达和制度重心的调整，而不是一条从前端到后端均稳定显著、方向单调的强中介链条。</ns0:t>
      </ns0:r>
    </ns0:p>
    <ns0:tbl>
      <ns0:tblPr>
        <ns0:tblStyle ns0:val="2"/>
        <ns0:tblW ns0:w="8522"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460"/>
        <ns0:gridCol ns0:w="2238"/>
        <ns0:gridCol ns0:w="2035"/>
        <ns0:gridCol ns0:w="520"/>
        <ns0:gridCol ns0:w="2269"/>
      </ns0:tblGrid>
      <ns0:tr ns2:paraId="6BEC2F4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0" ns0:type="auto"/>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69D92BC7">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机制层级</ns0:t>
            </ns0:r>
          </ns0:p>
        </ns0:tc>
        <ns0:tc>
          <ns0:tcPr>
            <ns0:tcW ns0:w="2238"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41677DF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核心链条/结果</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08D411AA">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核心系数与显著性</ns0:t>
            </ns0:r>
          </ns0:p>
        </ns0:tc>
        <ns0:tc>
          <ns0:tcPr>
            <ns0:tcW ns0:w="52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AD70AD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N</ns0:t>
            </ns0:r>
          </ns0:p>
        </ns0:tc>
        <ns0:tc>
          <ns0:tcPr>
            <ns0:tcW ns0:w="226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D0C74E5">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结论</ns0:t>
            </ns0:r>
          </ns0:p>
        </ns0:tc>
      </ns0:tr>
      <ns0:tr ns2:paraId="17AE9D5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72DEEF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A维度先行响应</ns0:t>
            </ns0:r>
          </ns0:p>
        </ns0:tc>
        <ns0:tc>
          <ns0:tcPr>
            <ns0:tcW ns0:w="2238"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8C562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treat_share→A_idx</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2ACBB38">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175.5750*** [p=&lt;0.001]</ns0:t>
            </ns0:r>
          </ns0:p>
        </ns0:tc>
        <ns0:tc>
          <ns0:tcPr>
            <ns0:tcW ns0:w="52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4B73E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9A820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接口维度显著先行</ns0:t>
            </ns0:r>
          </ns0:p>
        </ns0:tc>
      </ns0:tr>
      <ns0:tr ns2:paraId="2D2BAC5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09471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前端规范响应</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BE3854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treat_share→B_idx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75E33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-296.7251*** [p=&lt;0.001]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2A771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37639F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B维度发生显著调整</ns0:t>
            </ns0:r>
          </ns0:p>
        </ns0:tc>
      </ns0:tr>
      <ns0:tr ns2:paraId="1064C72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DB701D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链式传导</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9F3BD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B_idx→C_idx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E048F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0.8578*** [p=&lt;0.001]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B81A6D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797CFF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前端规范向采购执行维度传导</ns0:t>
            </ns0:r>
          </ns0:p>
        </ns0:tc>
      </ns0:tr>
      <ns0:tr ns2:paraId="1DACD69C">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4B3EE1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链式传导</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0BFB07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C_idx→D_idx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9F949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0.0934*** [p=&lt;0.001]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F4166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7B50F0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后端风险约束存在局部传导</ns0:t>
            </ns0:r>
          </ns0:p>
        </ns0:tc>
      </ns0:tr>
      <ns0:tr ns2:paraId="673623E4">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40286D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后端直接效应</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A92C6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treat_share→D_idx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2D35B4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0.0533 [p=0.999]</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5C253C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8DD0C2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未观察到稳定直接响应</ns0:t>
            </ns0:r>
          </ns0:p>
        </ns0:tc>
      </ns0:tr>
      <ns0:tr ns2:paraId="797DF03D">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DBF2A4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中介方程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877AE6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exec_share 中 A_idx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0D460B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did=0.3074*** [p=0.008]</ns0:t>
            </ns0:r>
          </ns0:p>
          <ns0:p ns2:paraId="30BCB4C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med=0.0003 [p=0.283]</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D09C7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E08D4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直接效应存在，中介项不稳</ns0:t>
            </ns0:r>
          </ns0:p>
        </ns0:tc>
      </ns0:tr>
      <ns0:tr ns2:paraId="716F1F64">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E0EBD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中介方程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81EB09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proc_share 中 A_idx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32E4B8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did=-0.3575*** [p=0.002]</ns0:t>
            </ns0:r>
          </ns0:p>
          <ns0:p ns2:paraId="420FB13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med=-0.0003 [p=0.310]</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55B128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DB366B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直接效应存在，中介项不稳</ns0:t>
            </ns0:r>
          </ns0:p>
        </ns0:tc>
      </ns0:tr>
      <ns0:tr ns2:paraId="275EF93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B079A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中介方程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4849E1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ppp_quality_zindex 中 A_idx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86AA3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did=0.4663 [p=0.271]</ns0:t>
            </ns0:r>
          </ns0:p>
          <ns0:p ns2:paraId="24C3917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med=0.0003 [p=0.321]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6CC6F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D8F117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质量型结果不稳</ns0:t>
            </ns0:r>
          </ns0:p>
        </ns0:tc>
      </ns0:tr>
      <ns0:tr ns2:paraId="1507D02F">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4159A4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A686EE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38D0A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ab=0.0415</ns0:t>
            </ns0:r>
          </ns0:p>
          <ns0:p ns2:paraId="3135127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Sobel p=0.364</ns0:t>
            </ns0:r>
          </ns0:p>
          <ns0:p ns2:paraId="119FFD4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CI=[-0.279, 0.163]</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CFF41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173673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严格中介不足</ns0:t>
            </ns0:r>
          </ns0:p>
        </ns0:tc>
      </ns0:tr>
      <ns0:tr ns2:paraId="219A7D6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9BABF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7F6D8C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41AC3F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ab=-0.0391</ns0:t>
            </ns0:r>
          </ns0:p>
          <ns0:p ns2:paraId="6725A34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Sobel p=0.377</ns0:t>
            </ns0:r>
          </ns0:p>
          <ns0:p ns2:paraId="5A03BCE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CI=[-0.157, 0.264]</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FCE3EC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7CF9C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严格中介不足</ns0:t>
            </ns0:r>
          </ns0:p>
        </ns0:tc>
      </ns0:tr>
      <ns0:tr ns2:paraId="2F05553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6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6FDC67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ns0:t>
            </ns0:r>
          </ns0:p>
        </ns0:tc>
        <ns0:tc>
          <ns0:tcPr>
            <ns0:tcW ns0:w="2238"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92C4108">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ppp_quality_zindex</ns0:t>
            </ns0:r>
          </ns0:p>
        </ns0:tc>
        <ns0:tc>
          <ns0:tcPr>
            <ns0:tcW ns0:w="203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EB1FA0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ab=0.0406</ns0:t>
            </ns0:r>
          </ns0:p>
          <ns0:p ns2:paraId="0C08C5C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Sobel p=0.512</ns0:t>
            </ns0:r>
          </ns0:p>
          <ns0:p ns2:paraId="471EF2D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CI=[-0.416, 0.201]</ns0:t>
            </ns0:r>
          </ns0:p>
        </ns0:tc>
        <ns0:tc>
          <ns0:tcPr>
            <ns0:tcW ns0:w="52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0BA939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619708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严格中介不足</ns0:t>
            </ns0:r>
          </ns0:p>
        </ns0:tc>
      </ns0:tr>
    </ns0:tbl>
    <ns0:p ns2:paraId="68967DF6">
      <ns0:pPr>
        <ns0:spacing ns0:before="0" ns0:after="0" ns0:line="420" ns0:lineRule="auto"/>
        <ns0:ind ns0:firstLine="420"/>
        <ns0:jc ns0:val="both"/>
      </ns0:pPr>
      <ns0:r>
        <ns0:t>从公共管理角度看，这一结果的含义在于，PPP治理过程的改善首先依赖制度接口和程序环境的调整，而非所有治理环节同步升级；从证据边界看，表5支持的是部分机制和阶段性传导，而不是完整闭合的机制证明。与此同时，由于A/B/C/D维度均来自政策文本的省—年聚合结果，当前稿件更适合将其解释为制度表达与治理重心的重分布证据，而不是与主识别并列的独立因果机制识别。为避免同源文本被误读为独立机制，本轮在附录E中单列说明处理变量与文本证据线索的来源边界。</ns0:t>
      </ns0:r>
    </ns0:p>
    <ns0:p ns2:paraId="736049D1">
      <ns0:pPr>
        <ns0:spacing ns0:before="100" ns0:after="40" ns0:line="420" ns0:lineRule="auto"/>
        <ns0:jc ns0:val="left"/>
      </ns0:pPr>
      <ns0:r>
        <ns0:t>5.5 异质性分析</ns0:t>
      </ns0:r>
    </ns0:p>
    <ns0:p ns2:paraId="45E15243">
      <ns0:pPr>
        <ns0:spacing ns0:before="0" ns0:after="0" ns0:line="420" ns0:lineRule="auto"/>
        <ns0:ind ns0:firstLine="420"/>
        <ns0:jc ns0:val="both"/>
      </ns0:pPr>
      <ns0:r>
        <ns0:t>在主结果和机制线索之外，本文进一步考察改革效应是否在不同治理环境下存在差异。异质性分析的作用是补充适用边界，而不是生成第二主结论，因此其解释强度必须低于基准结果和机制分析。</ns0:t>
      </ns0:r>
    </ns0:p>
    <ns0:p ns2:paraId="076A2F21">
      <ns0:pPr>
        <ns0:spacing ns0:before="0" ns0:after="0" ns0:line="420" ns0:lineRule="auto"/>
        <ns0:ind ns0:firstLine="420"/>
        <ns0:jc ns0:val="both"/>
      </ns0:pPr>
      <ns0:r>
        <ns0:t>表6报告了围绕数字金融基础、风险暴露和政府数据开放度等维度的交互检验结果。整体上看，大多数交互项并未形成稳定显著，尤其在exec_share与proc_share这两个核心推进结构指标上，异质性结果并不充分。这意味着，当前材料不足以支持将某一类地区或治理环境写成改革效应的决定性条件。少数质量型结果上虽出现局部差异信号，但考虑到ppp_quality_zindex本身不承担主结论，这些局部差异也不宜被进一步放大。</ns0:t>
      </ns0:r>
    </ns0:p>
    <ns0:p ns2:paraId="3C9B636F">
      <ns0:pPr>
        <ns0:spacing ns0:before="0" ns0:after="40" ns0:line="420" ns0:lineRule="auto"/>
        <ns0:jc ns0:val="center"/>
      </ns0:pPr>
      <ns0:r>
        <ns0:t>因此，本文对异质性部分的处理是保守的。它更多说明数字化改革的推进结构效应在不同治理环境中可能存在程度差异，但现阶段并不足以据此重写主结论。对公共管理研究而言，表6的价值主要在于提示适用边界和情境差异，而不是提供一组新的中心发现。若版面受限，这一部分也可以转入附录，而不影响全文主论证。</ns0:t>
      </ns0:r>
    </ns0:p>
    <ns0:tbl>
      <ns0:tblPr>
        <ns0:tblStyle ns0:val="2"/>
        <ns0:tblW ns0:w="8803"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463"/>
        <ns0:gridCol ns0:w="1932"/>
        <ns0:gridCol ns0:w="1075"/>
        <ns0:gridCol ns0:w="1429"/>
        <ns0:gridCol ns0:w="500"/>
        <ns0:gridCol ns0:w="2404"/>
      </ns0:tblGrid>
      <ns0:tr ns2:paraId="7F609BC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tblHeader/>
          <ns0:jc ns0:val="center"/>
        </ns0:trPr>
        <ns0:tc>
          <ns0:tcPr>
            <ns0:tcW ns0:w="0" ns0:type="auto"/>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25BE597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异质性维度</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0B8A58C">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结果变量</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75DCCF2">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交互项</ns0:t>
            </ns0:r>
          </ns0:p>
        </ns0:tc>
        <ns0:tc>
          <ns0:tcPr>
            <ns0:tcW ns0:w="142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1CE76DD2">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交互结果</ns0:t>
            </ns0:r>
          </ns0:p>
        </ns0:tc>
        <ns0:tc>
          <ns0:tcPr>
            <ns0:tcW ns0:w="50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2B987AC7">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N</ns0:t>
            </ns0:r>
          </ns0:p>
        </ns0:tc>
        <ns0:tc>
          <ns0:tcPr>
            <ns0:tcW ns0:w="2404"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3EA064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解释</ns0:t>
            </ns0:r>
          </ns0:p>
        </ns0:tc>
      </ns0:tr>
      <ns0:tr ns2:paraId="2BF3817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B43B0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区域异质性</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C04CA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E029FC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treat_share</ns0:t>
            </ns0:r>
          </ns0:p>
        </ns0:tc>
        <ns0:tc>
          <ns0:tcPr>
            <ns0:tcW ns0:w="142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D7EF9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-0.4554*** [p=&lt;0.001]</ns0:t>
            </ns0:r>
          </ns0:p>
        </ns0:tc>
        <ns0:tc>
          <ns0:tcPr>
            <ns0:tcW ns0:w="50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D6A3E8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37B948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仅作为差异线索</ns0:t>
            </ns0:r>
          </ns0:p>
        </ns0:tc>
      </ns0:tr>
      <ns0:tr ns2:paraId="3B70B9A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E9AD39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区域异质性</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A4C0A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8220C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treat_share</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BD55F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0.4188*** [p=&lt;0.001]</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B92B41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78252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仅作为差异线索</ns0:t>
            </ns0:r>
          </ns0:p>
        </ns0:tc>
      </ns0:tr>
      <ns0:tr ns2:paraId="043B7A4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3AAF2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治理基础高低</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B15FE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B3ACB3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treat_share</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D8A26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-0.4548*** [p=&lt;0.001]</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703922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6CCA51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仅作为差异线索</ns0:t>
            </ns0:r>
          </ns0:p>
        </ns0:tc>
      </ns0:tr>
      <ns0:tr ns2:paraId="7C703BA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52253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PPP风险暴露</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D17DF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1A7E6F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D4630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-0.2440 [p=0.368]</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7471B7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CFFAE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交互项不显著，未观察到稳定的风险暴露异质性</ns0:t>
            </ns0:r>
          </ns0:p>
        </ns0:tc>
      </ns0:tr>
      <ns0:tr ns2:paraId="6A8F9D5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6A74A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PPP风险暴露</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B6ED2A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56B822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927EDB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0.2259 [p=0.337]</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743A3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63AB1B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交互项不显著，未观察到稳定的风险暴露异质性</ns0:t>
            </ns0:r>
          </ns0:p>
        </ns0:tc>
      </ns0:tr>
      <ns0:tr ns2:paraId="6FCE63BD">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E8D1D4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PPP风险暴露</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B8D88C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ppp_quality_zindex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E6FEAA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0B79F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-0.0879 [p=0.916]</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3D841B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FC38AE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交互项不显著，未观察到稳定的风险暴露异质性</ns0:t>
            </ns0:r>
          </ns0:p>
        </ns0:tc>
      </ns0:tr>
      <ns0:tr ns2:paraId="5021786E">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3FA21E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政府数据开放度</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E3BE90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5C7777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9BEF0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0.1190 [p=0.747]</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4C0231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9A152C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交互项不显著，更多体现为适用边界补充</ns0:t>
            </ns0:r>
          </ns0:p>
        </ns0:tc>
      </ns0:tr>
      <ns0:tr ns2:paraId="47A27C7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1A7F56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政府数据开放度</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7043DA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B27042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F6A77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-0.2328 [p=0.535]</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5EED93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5F2987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交互项不显著，更多体现为适用边界补充</ns0:t>
            </ns0:r>
          </ns0:p>
        </ns0:tc>
      </ns0:tr>
      <ns0:tr ns2:paraId="2B3C4B6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1463"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EF6B76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政府数据开放度</ns0:t>
            </ns0:r>
          </ns0:p>
        </ns0:tc>
        <ns0:tc>
          <ns0:tcPr>
            <ns0:tcW ns0:w="1932"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9AA630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ppp_quality_zindex</ns0:t>
            </ns0:r>
          </ns0:p>
        </ns0:tc>
        <ns0:tc>
          <ns0:tcPr>
            <ns0:tcW ns0:w="107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8EF7D2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699637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-0.8604 [p=0.481]</ns0:t>
            </ns0:r>
          </ns0:p>
        </ns0:tc>
        <ns0:tc>
          <ns0:tcPr>
            <ns0:tcW ns0:w="50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5A3D67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84EB33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交互项不显著，更多体现为适用边界补充</ns0:t>
            </ns0:r>
          </ns0:p>
        </ns0:tc>
      </ns0:tr>
    </ns0:tbl>
    <ns0:p ns2:paraId="40047F1B">
      <ns0:pPr>
        <ns0:spacing ns0:before="100" ns0:after="40" ns0:line="420" ns0:lineRule="auto"/>
        <ns0:jc ns0:val="left"/>
      </ns0:pPr>
      <ns0:r>
        <ns0:t>5.6 稳健性检验与主识别防守</ns0:t>
      </ns0:r>
    </ns0:p>
    <ns0:p ns2:paraId="4ED499A3">
      <ns0:pPr>
        <ns0:spacing ns0:before="0" ns0:after="0" ns0:line="420" ns0:lineRule="auto"/>
        <ns0:ind ns0:firstLine="420"/>
        <ns0:jc ns0:val="both"/>
      </ns0:pPr>
      <ns0:r>
        <ns0:t>本节并不引入新的主识别策略，而是围绕表4所报告的treat_share多期DID/TWFE主结果，按“趋势风险—单一区域驱动—有限聚类推断”三个问题逐项防守，并同时明确其证据边界。正文叙述与附录D同步报告标准聚类结果、trend-adjusted DID和wild cluster bootstrap的关键数值。相较之下，stack DID、cohort ATT以及动态补充识别仅保留为边界诊断，不再承担正文中的主防守功能。</ns0:t>
      </ns0:r>
    </ns0:p>
    <ns0:p ns2:paraId="532AF634">
      <ns0:pPr>
        <ns0:spacing ns0:before="100" ns0:after="40" ns0:line="420" ns0:lineRule="auto"/>
        <ns0:jc ns0:val="left"/>
      </ns0:pPr>
      <ns0:r>
        <ns0:t>5.6.1 趋势调整型防守检验</ns0:t>
      </ns0:r>
    </ns0:p>
    <ns0:p ns2:paraId="76682969">
      <ns0:pPr>
        <ns0:spacing ns0:before="0" ns0:after="0" ns0:line="420" ns0:lineRule="auto"/>
        <ns0:ind ns0:firstLine="420"/>
        <ns0:jc ns0:val="both"/>
      </ns0:pPr>
      <ns0:r>
        <ns0:t>鉴于前文事件研究中的领先项并非完全平稳，本文在正式主规格之外进一步加入省份线性时间趋势，对主结果进行趋势调整型DID检验。该检验保持正式主面板、处理变量、控制变量、地区固定效应和年份固定效应不变，仅额外控制省级线性趋势，因此其作用在于回应“省际异质趋势可能影响主结果”的识别顾虑，而不是替代表4中的主识别框架。趋势调整后的结果表明，采购阶段占比下降这一核心结果仍保持显著负向：proc_share的系数为-0.3521，p = 0.0485，说明推进结构中的“采购向执行转换”并不完全依赖共同趋势设定；执行阶段占比上升在方向上保持一致，但统计强度明显减弱，exec_share的系数为0.2263，p = 0.1945，表明这一判断更容易受到趋势设定影响；综合治理质量口径在趋势调整后反而转为负向且p = 0.6780，更不能被提升为稳健主结论。就防守价值而言，采购阶段占比是三项结果中最强的一项，执行阶段占比主要体现为方向稳定但强度更敏感，综合治理质量口径则继续只能作为边界性结果处理。图8A、表8与附录D共同服务于这一层防守性说明。</ns0:t>
      </ns0:r>
    </ns0:p>
    <ns0:p ns2:paraId="440A0EDF">
      <ns0:pPr>
        <ns0:spacing ns0:before="0" ns0:after="40" ns0:line="420" ns0:lineRule="auto"/>
        <ns0:jc ns0:val="center"/>
      </ns0:pPr>
      <ns0:r>
        <ns0:t>表8 主识别防守型稳健性检验摘要</ns0:t>
      </ns0:r>
    </ns0:p>
    <ns0:tbl>
      <ns0:tblPr>
        <ns0:tblStyle ns0:val="2"/>
        <ns0:tblW ns0:w="9326"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305"/>
        <ns0:gridCol ns0:w="1519"/>
        <ns0:gridCol ns0:w="1429"/>
        <ns0:gridCol ns0:w="2053"/>
        <ns0:gridCol ns0:w="3020"/>
      </ns0:tblGrid>
      <ns0:tr ns2:paraId="73F1779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PrEx>
        <ns0:trPr>
          <ns0:trHeight ns0:val="0" ns0:hRule="atLeast"/>
          <ns0:tblHeader/>
          <ns0:jc ns0:val="center"/>
        </ns0:trPr>
        <ns0:tc>
          <ns0:tcPr>
            <ns0:tcW ns0:w="0" ns0:type="auto"/>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12EB8CD0">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检验层级</ns0:t>
            </ns0:r>
          </ns0:p>
        </ns0:tc>
        <ns0:tc>
          <ns0:tcPr>
            <ns0:tcW ns0:w="0" ns0:type="auto"/>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7CA3D60C">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exec_share</ns0:t>
            </ns0:r>
          </ns0:p>
        </ns0:tc>
        <ns0:tc>
          <ns0:tcPr>
            <ns0:tcW ns0:w="1429" ns0:type="dxa"/>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7F524504">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proc_share</ns0:t>
            </ns0:r>
          </ns0:p>
        </ns0:tc>
        <ns0:tc>
          <ns0:tcPr>
            <ns0:tcW ns0:w="0" ns0:type="auto"/>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10E5B2AF">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ppp_quality_zindex</ns0:t>
            </ns0:r>
          </ns0:p>
        </ns0:tc>
        <ns0:tc>
          <ns0:tcPr>
            <ns0:tcW ns0:w="3020" ns0:type="dxa"/>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7DDD1F15">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写作口径</ns0:t>
            </ns0:r>
          </ns0:p>
        </ns0:tc>
      </ns0:tr>
      <ns0:tr ns2:paraId="1BFBE69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FA98C49">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常规稳健性：主规格锚定</ns0:t>
            </ns0:r>
          </ns0:p>
        </ns0:tc>
        <ns0:tc>
          <ns0:tcPr>
            <ns0:tcW ns0:w="0" ns0:type="auto"/>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AFBF041">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0.3600*** [p=&lt;0.001]</ns0:t>
            </ns0:r>
          </ns0:p>
        </ns0:tc>
        <ns0:tc>
          <ns0:tcPr>
            <ns0:tcW ns0:w="1429" ns0:type="dxa"/>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55A4B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-0.4065*** [p=&lt;0.001]</ns0:t>
            </ns0:r>
          </ns0:p>
        </ns0:tc>
        <ns0:tc>
          <ns0:tcPr>
            <ns0:tcW ns0:w="0" ns0:type="auto"/>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7C9F9E">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0.5226 [p=0.247]</ns0:t>
            </ns0:r>
          </ns0:p>
        </ns0:tc>
        <ns0:tc>
          <ns0:tcPr>
            <ns0:tcW ns0:w="3020" ns0:type="dxa"/>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49209C1">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推进结构方向稳定；质量型结果不稳</ns0:t>
            </ns0:r>
          </ns0:p>
        </ns0:tc>
      </ns0:tr>
      <ns0:tr ns2:paraId="1F5651E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E41CFE2">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常规稳健性：滞后一期控制变量</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C4BC5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0.4197*** [p=&lt;0.001]</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F9AB50">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-0.5187*** [p=&lt;0.001]</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0E2E97">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0.1865 [p=0.588]</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6B7A0D">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推进结构方向稳定；质量型结果不稳</ns0:t>
            </ns0:r>
          </ns0:p>
        </ns0:tc>
      </ns0:tr>
      <ns0:tr ns2:paraId="63BE237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2AE1EA8">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常规稳健性：剔除直辖市与兵团</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CF2E7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0.3419*** [p=&lt;0.001]</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3D146A">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-0.3968*** [p=&lt;0.001]</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C8F23F">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0.5040 [p=0.296]</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48DEA01">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推进结构方向稳定；质量型结果不稳</ns0:t>
            </ns0:r>
          </ns0:p>
        </ns0:tc>
      </ns0:tr>
      <ns0:tr ns2:paraId="61460CB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F13CED">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PSM-DID敏感性</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1E3AD50">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-0.5361* [p=0.0871]</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118A6C">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0.3104 [p=0.3739]</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A22950B">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-2.6389*** [p=0.0]</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976829">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匹配样本结果敏感，作为识别边界而非强化证据</ns0:t>
            </ns0:r>
          </ns0:p>
        </ns0:tc>
      </ns0:tr>
      <ns0:tr ns2:paraId="71FDD0F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FB90F8">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DML高维稳健性</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04A2BF">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0.1730 [p=0.200]</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4E98B3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-0.1656 [p=0.212]</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B88693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0.3129 [p=0.104]</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CD0AA00">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三项结果方向一致，但统计强度有限</ns0:t>
            </ns0:r>
          </ns0:p>
        </ns0:tc>
      </ns0:tr>
      <ns0:tr ns2:paraId="74D6415D">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05F3ECC">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IV可行性评估</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2A5F9C1">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最优候选：digital_econ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4A5AAC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一阶段t=1.515</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CD2BC8E">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recommended=No</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A135C99">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当前V3主面板下一阶段相关性不足，不能写成正式IV结果</ns0:t>
            </ns0:r>
          </ns0:p>
        </ns0:tc>
      </ns0:tr>
      <ns0:tr ns2:paraId="00A0476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1305"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358797B">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安慰剂检验</ns0:t>
            </ns0:r>
          </ns0:p>
        </ns0:tc>
        <ns0:tc>
          <ns0:tcPr>
            <ns0:tcW ns0:w="1519"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E68DE3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均值=0.0038</ns0:t>
            </ns0:r>
          </ns0:p>
        </ns0:tc>
        <ns0:tc>
          <ns0:tcPr>
            <ns0:tcW ns0:w="1429"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19C32D2">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95%分位=0.1273</ns0:t>
            </ns0:r>
          </ns0:p>
        </ns0:tc>
        <ns0:tc>
          <ns0:tcPr>
            <ns0:tcW ns0:w="2053"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2D641A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99%分位=0.1661</ns0:t>
            </ns0:r>
          </ns0:p>
        </ns0:tc>
        <ns0:tc>
          <ns0:tcPr>
            <ns0:tcW ns0:w="3020"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06332EC">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随机置换系数围绕零值分布，作为补充性稳健性支持</ns0:t>
            </ns0:r>
          </ns0:p>
        </ns0:tc>
      </ns0:tr>
    </ns0:tbl>
    <ns0:p ns2:paraId="26AA50D4">
      <ns0:pPr>
        <ns0:spacing ns0:before="60" ns0:after="60" ns0:line="360" ns0:lineRule="auto"/>
        <ns0:jc ns0:val="center"/>
      </ns0:pPr>
      <ns0:r>
        <ns0:drawing>
          <ns3:inline distT="0" distB="0" distL="0" distR="0">
            <ns3:extent cx="5577840" cy="3408680"/>
            <ns3:effectExtent l="0" t="0" r="0" b="0"/>
            <ns3:docPr id="8" name="image8.png"/>
            <ns3:cNvGraphicFramePr>
              <ns4:graphicFrameLocks noChangeAspect="1"/>
            </ns3:cNvGraphicFramePr>
            <ns4:graphic>
              <ns4:graphicData uri="http://schemas.openxmlformats.org/drawingml/2006/picture">
                <ns5:pic>
                  <ns5:nvPicPr>
                    <ns5:cNvPr id="8" name="image8.png"/>
                    <ns5:cNvPicPr>
                      <ns4:picLocks noChangeAspect="1"/>
                    </ns5:cNvPicPr>
                  </ns5:nvPicPr>
                  <ns5:blipFill>
                    <ns4:blip ns6:embed="rId11"/>
                    <ns4:stretch>
                      <ns4:fillRect/>
                    </ns4:stretch>
                  </ns5:blipFill>
                  <ns5:spPr>
                    <ns4:xfrm>
                      <ns4:off x="0" y="0"/>
                      <ns4:ext cx="5577840" cy="3408680"/>
                    </ns4:xfrm>
                    <ns4:prstGeom prst="rect">
                      <ns4:avLst/>
                    </ns4:prstGeom>
                  </ns5:spPr>
                </ns5:pic>
              </ns4:graphicData>
            </ns4:graphic>
          </ns3:inline>
        </ns0:drawing>
      </ns0:r>
    </ns0:p>
    <ns0:p ns2:paraId="025A7CF5">
      <ns0:pPr>
        <ns0:spacing ns0:before="0" ns0:after="60" ns0:line="420" ns0:lineRule="auto"/>
        <ns0:jc ns0:val="center"/>
      </ns0:pPr>
      <ns0:r>
        <ns0:t>图8 主识别防守型补充诊断图：A. 趋势调整型DID与基准DID的结果比较；B. 逐省剔除诊断下核心结果的稳定性</ns0:t>
      </ns0:r>
    </ns0:p>
    <ns0:p ns2:paraId="532AF634">
      <ns0:pPr>
        <ns0:spacing ns0:before="100" ns0:after="40" ns0:line="420" ns0:lineRule="auto"/>
        <ns0:jc ns0:val="left"/>
      </ns0:pPr>
      <ns0:r>
        <ns0:t>5.6.2 单一地区驱动风险诊断：逐省剔除检验</ns0:t>
      </ns0:r>
    </ns0:p>
    <ns0:p ns2:paraId="52B15289">
      <ns0:pPr>
        <ns0:spacing ns0:before="0" ns0:after="0" ns0:line="420" ns0:lineRule="auto"/>
        <ns0:ind ns0:firstLine="420"/>
        <ns0:jc ns0:val="both"/>
      </ns0:pPr>
      <ns0:r>
        <ns0:t>为了判断主结果是否主要由个别地区驱动，本文进一步实施逐省剔除检验。在保持处理变量、控制变量、固定效应和聚类口径不变的前提下，依次删除单个省份并重新估计主规格，以观察核心系数的方向是否翻转，以及统计强度是否对个别地区存在明显敏感性。结果显示，执行阶段占比与采购阶段占比在删除任一单一省份后均未发生符号翻转，这意味着推进结构改善这一核心判断并非由单一地区机械驱动；与此同时，两项结果的统计强度对个别地区仍存在一定敏感性，因此更稳妥的写法应是“方向稳定，但强度仍受样本扰动影响”，而不是“完全不受地区结构影响”。相较之下，综合治理质量口径的波动更大，因而更不宜承担稳健主发现。图8B与表8共同承担这一诊断功能。</ns0:t>
      </ns0:r>
    </ns0:p>
    <ns0:p ns2:paraId="33C848FC">
      <ns0:pPr>
        <ns0:spacing ns0:before="60" ns0:after="60" ns0:line="360" ns0:lineRule="auto"/>
        <ns0:jc ns0:val="center"/>
      </ns0:pPr>
      <ns0:r>
        <ns0:drawing>
          <ns3:inline distT="0" distB="0" distL="0" distR="0">
            <ns3:extent cx="5577840" cy="3218815"/>
            <ns3:effectExtent l="0" t="0" r="0" b="0"/>
            <ns3:docPr id="9" name="image9.png"/>
            <ns3:cNvGraphicFramePr>
              <ns4:graphicFrameLocks noChangeAspect="1"/>
            </ns3:cNvGraphicFramePr>
            <ns4:graphic>
              <ns4:graphicData uri="http://schemas.openxmlformats.org/drawingml/2006/picture">
                <ns5:pic>
                  <ns5:nvPicPr>
                    <ns5:cNvPr id="9" name="image9.png"/>
                    <ns5:cNvPicPr>
                      <ns4:picLocks noChangeAspect="1"/>
                    </ns5:cNvPicPr>
                  </ns5:nvPicPr>
                  <ns5:blipFill>
                    <ns4:blip ns6:embed="rId12"/>
                    <ns4:stretch>
                      <ns4:fillRect/>
                    </ns4:stretch>
                  </ns5:blipFill>
                  <ns5:spPr>
                    <ns4:xfrm>
                      <ns4:off x="0" y="0"/>
                      <ns4:ext cx="5577840" cy="3219021"/>
                    </ns4:xfrm>
                    <ns4:prstGeom prst="rect">
                      <ns4:avLst/>
                    </ns4:prstGeom>
                  </ns5:spPr>
                </ns5:pic>
              </ns4:graphicData>
            </ns4:graphic>
          </ns3:inline>
        </ns0:drawing>
      </ns0:r>
    </ns0:p>
    <ns0:p ns2:paraId="532AF634">
      <ns0:pPr>
        <ns0:spacing ns0:before="100" ns0:after="40" ns0:line="420" ns0:lineRule="auto"/>
        <ns0:jc ns0:val="left"/>
      </ns0:pPr>
      <ns0:r>
        <ns0:t>5.6.3 Wild Cluster Bootstrap 与更保守推断边界</ns0:t>
      </ns0:r>
    </ns0:p>
    <ns0:p ns2:paraId="7EA9AC05">
      <ns0:pPr>
        <ns0:spacing ns0:before="0" ns0:after="0" ns0:line="420" ns0:lineRule="auto"/>
        <ns0:ind ns0:firstLine="420"/>
        <ns0:jc ns0:val="both"/>
      </ns0:pPr>
      <ns0:r>
        <ns0:t>考虑到正式基准样本的地区聚类数量有限，本文进一步采用更保守的wild cluster bootstrap作为小样本推断层面的补充说明。该部分不改变估计框架，也不改变结果方向判断，其作用只是检验在更严格的推断标准下，核心推进结构结论是否仍保留相同的方向层级。为避免“表内显著、附录保守”造成的信息分裂，本轮将wild结果纳入主识别防守叙述，并在附录D汇总报告。结果表明，执行阶段占比与采购阶段占比的方向与基准DID保持一致，但统计强度进一步减弱：exec_share的wild cluster bootstrap p值为0.0761，proc_share为0.1221，ppp_quality_zindex为0.2372。也就是说，在更保守的有限聚类推断下，推进结构重组的方向判断仍被保留，但已不足以支撑强因果措辞；其中采购阶段占比下降的方向更稳定，执行阶段占比上升则更依赖模型设定与样本扰动。因而，这一层证据更适合作为边界说明，而不构成对主识别的额外强化。此外，随机置换得到的安慰剂分布整体围绕零值展开，相关图示仅作为补充材料中的诊断性展示，不承担正文主防守功能。</ns0:t>
      </ns0:r>
    </ns0:p>
    <ns0:p ns2:paraId="5DAC762E">
      <ns0:pPr>
        <ns0:spacing ns0:before="0" ns0:after="60" ns0:line="420" ns0:lineRule="auto"/>
        <ns0:jc ns0:val="center"/>
      </ns0:pPr>
      <ns0:r>
        <ns0:t>图9 安慰剂分布图（补充诊断）</ns0:t>
      </ns0:r>
    </ns0:p>
    <ns0:p ns2:paraId="15EBBA3D">
      <ns0:pPr>
        <ns0:spacing ns0:before="0" ns0:after="0" ns0:line="420" ns0:lineRule="auto"/>
        <ns0:ind ns0:firstLine="420"/>
        <ns0:jc ns0:val="both"/>
      </ns0:pPr>
      <ns0:r>
        <ns0:t>5.6.4 其他补充识别结果（简述）</ns0:t>
      </ns0:r>
    </ns0:p>
    <ns0:p ns2:paraId="7EA9AC05">
      <ns0:pPr>
        <ns0:spacing ns0:before="0" ns0:after="0" ns0:line="420" ns0:lineRule="auto"/>
        <ns0:ind ns0:firstLine="420"/>
        <ns0:jc ns0:val="both"/>
      </ns0:pPr>
      <ns0:r>
        <ns0:t>本文同时保留了stack DID、cohort ATT、动态补充识别、PSM-DID、DML和候选工具变量筛查，但这些方法的功能均限于边界诊断而非结论抬升。前两者主要用于观察核心结果是否对处理时点结构异常敏感；动态补充识别只用于提示前趋势风险是否仍需保留；PSM-DID在当前样本下结果敏感且部分口径出现方向反转，DML只提供方向一致而非稳定显著的高维稳健性线索，候选工具变量的一阶段也不足以支撑正式IV识别。正因如此，正文只保留其方法性说明，而不把它们抬升为主防守层，更不将其写成对表4主结果的额外强化。</ns0:t>
      </ns0:r>
    </ns0:p>
    <ns0:p ns2:paraId="3F854742">
      <ns0:pPr>
        <ns0:spacing ns0:before="100" ns0:after="40" ns0:line="420" ns0:lineRule="auto"/>
        <ns0:jc ns0:val="left"/>
      </ns0:pPr>
      <ns0:r>
        <ns0:t>5.7 项目级扩展分析：高低风险的辅助识别</ns0:t>
      </ns0:r>
    </ns0:p>
    <ns0:p ns2:paraId="62CAE315">
      <ns0:pPr>
        <ns0:spacing ns0:before="0" ns0:after="0" ns0:line="420" ns0:lineRule="auto"/>
        <ns0:ind ns0:firstLine="420"/>
        <ns0:jc ns0:val="both"/>
      </ns0:pPr>
      <ns0:r>
        <ns0:t>从风险治理与多源文本研究的视角看，项目级模型的合理定位并不是替代制度识别，而是在既有治理框架之内提高前端筛查与风险排序效率（范柏乃、盛中华，2024；范小云等，2022；刘敏等，2025）。也正因如此，本文将第5.7节置于主识别之后：其任务不是重新解释前文的因果结果，而是考察文本与结构变量在项目层面能否转化为具有现实操作性的辅助识别工具。</ns0:t>
      </ns0:r>
    </ns0:p>
    <ns0:p ns2:paraId="21613630">
      <ns0:pPr>
        <ns0:spacing ns0:before="0" ns0:after="0" ns0:line="420" ns0:lineRule="auto"/>
        <ns0:ind ns0:firstLine="420"/>
        <ns0:jc ns0:val="both"/>
      </ns0:pPr>
      <ns0:r>
        <ns0:t>表9报告了六类模型在严格版项目底表上的预测表现。总体看，Blending模型的AUC为0.8593，略高于XGBoost的0.8589和CatBoost的0.8557；Logistic模型的总体AUC略低，但Recall达到0.7382，在高风险项目召回方面更有优势；RandomForest整体表现相对较弱。结合正式README的边界说明，这些结果只能说明：在结构性标签定义清晰、文本变量与标签严格分离的条件下，PPP项目的极端高低风险具有中等偏强的可识别性。</ns0:t>
      </ns0:r>
    </ns0:p>
    <ns0:p ns2:paraId="54F559D0">
      <ns0:pPr>
        <ns0:spacing ns0:before="0" ns0:after="40" ns0:line="420" ns0:lineRule="auto"/>
        <ns0:jc ns0:val="center"/>
      </ns0:pPr>
      <ns0:r>
        <ns0:t>这里需要坚持两条边界。第一，表9展示的是排序和识别能力，而不是制度因果效应，因此不能与前文的多期DID/TWFE结论混写。第二，模型性能略高并不意味着某种算法已经替代治理判断。对公共管理研究而言，这一部分更合理的定位是治理辅助工具：它可以帮助识别需要重点关注的项目，但无法替代前端规范、审批约束和跨部门协同本身。也正因为如此，本文将第5.7节压缩为扩展分析而非全文压轴，其作用是补充说明文本和结构变量在项目层面的应用潜力，而不是改变全文主线。</ns0:t>
      </ns0:r>
    </ns0:p>
    <ns0:p ns2:paraId="0EB64389">
      <ns0:pPr>
        <ns0:spacing ns0:before="0" ns0:after="40" ns0:line="420" ns0:lineRule="auto"/>
        <ns0:jc ns0:val="both"/>
      </ns0:pPr>
    </ns0:p>
    <ns0:p ns2:paraId="7024C971">
      <ns0:pPr>
        <ns0:spacing ns0:before="0" ns0:after="40" ns0:line="420" ns0:lineRule="auto"/>
        <ns0:jc ns0:val="both"/>
      </ns0:pPr>
    </ns0:p>
    <ns0:p ns2:paraId="658FFB74">
      <ns0:pPr>
        <ns0:spacing ns0:before="0" ns0:after="40" ns0:line="420" ns0:lineRule="auto"/>
        <ns0:jc ns0:val="both"/>
      </ns0:pPr>
    </ns0:p>
    <ns0:tbl>
      <ns0:tblPr>
        <ns0:tblStyle ns0:val="2"/>
        <ns0:tblW ns0:w="8941"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3600"/>
        <ns0:gridCol ns0:w="802"/>
        <ns0:gridCol ns0:w="802"/>
        <ns0:gridCol ns0:w="803"/>
        <ns0:gridCol ns0:w="1051"/>
        <ns0:gridCol ns0:w="803"/>
        <ns0:gridCol ns0:w="1080"/>
      </ns0:tblGrid>
      <ns0:tr ns2:paraId="5F06C35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tblHeader/>
          <ns0:jc ns0:val="center"/>
        </ns0:trPr>
        <ns0:tc>
          <ns0:tcPr>
            <ns0:tcW ns0:w="3020"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1F9916D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模型</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3C14D4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AUC</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0A8E0A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AP</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71D976F">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F1</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73BA958">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Precision</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16ACAD1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Recall</ns0:t>
            </ns0:r>
          </ns0:p>
        </ns0:tc>
        <ns0:tc>
          <ns0:tcPr>
            <ns0:tcW ns0:w="1156"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4A9130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Accuracy</ns0:t>
            </ns0:r>
          </ns0:p>
        </ns0:tc>
      </ns0:tr>
      <ns0:tr ns2:paraId="35251D4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3EAD2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Blending(RF+XGB+LGBM+CATB)</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48734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0.8593</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8BCA12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0.6914</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A05D789">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0.5301</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37626C">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0.7974</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8F1036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0.3970</ns0:t>
            </ns0:r>
          </ns0:p>
        </ns0:tc>
        <ns0:tc>
          <ns0:tcPr>
            <ns0:tcW ns0:w="1156"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0F48B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0.8688</ns0:t>
            </ns0:r>
          </ns0:p>
        </ns0:tc>
      </ns0:tr>
      <ns0:tr ns2:paraId="280D999C">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72B2E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XGBoost</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1AE1AA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0.8589</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5F7DFC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0.6895</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73AA5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0.5617</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E1599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0.7638</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EE5107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0.4442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CD4CF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0.8708</ns0:t>
            </ns0:r>
          </ns0:p>
        </ns0:tc>
      </ns0:tr>
      <ns0:tr ns2:paraId="4C0693D4">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411DE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CatBoost</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74022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0.8557</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8C2043A">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0.6910</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4A0A3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0.5595</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BC5B04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0.7555</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4AC727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0.4442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4147A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0.8696</ns0:t>
            </ns0:r>
          </ns0:p>
        </ns0:tc>
      </ns0:tr>
      <ns0:tr ns2:paraId="375A761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A06141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Logistic</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9E338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0.8537</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6ADF90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0.6515</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7B2601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0.5840</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888FA0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0.4831</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B2ECC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0.7382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4175E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0.8040</ns0:t>
            </ns0:r>
          </ns0:p>
        </ns0:tc>
      </ns0:tr>
      <ns0:tr ns2:paraId="7A0C233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DFB44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LightGBM</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62EB6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0.8519</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2EFD1C">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0.6769</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BFD6DD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0.5483</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12B542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0.7163</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F17AEE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0.4442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925D7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0.8636</ns0:t>
            </ns0:r>
          </ns0:p>
        </ns0:tc>
      </ns0:tr>
      <ns0:tr ns2:paraId="33D7284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F26052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RandomForest</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D9453B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0.8311</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093E17C">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0.6386</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19B982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0.1857</ns0:t>
            </ns0:r>
          </ns0:p>
        </ns0:tc>
        <ns0:tc>
          <ns0:tcPr>
            <ns0:tcW ns0:w="112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A41706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0.9412</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BE029D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0.1030</ns0:t>
            </ns0:r>
          </ns0:p>
        </ns0:tc>
        <ns0:tc>
          <ns0:tcPr>
            <ns0:tcW ns0:w="1156"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6CD5BE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0.8316</ns0:t>
            </ns0:r>
          </ns0:p>
        </ns0:tc>
      </ns0:tr>
    </ns0:tbl>
    <ns0:p ns2:paraId="6FE7AA23">
      <ns0:pPr>
        <ns0:spacing ns0:before="0" ns0:after="0" ns0:line="420" ns0:lineRule="auto"/>
        <ns0:ind ns0:firstLine="420"/>
        <ns0:jc ns0:val="both"/>
      </ns0:pPr>
      <ns0:r>
        <ns0:t>因此，第5.7节的公共管理意义并不在于证明某种模型已经构成新的制度能力，而在于说明在严格标签边界之下，项目级文本与结构变量可以为风险预警、分类监管和前端资源配置提供辅助支持。排序能力本身不等于治理能力，更不能被反向书写为对前文制度因果识别的强化。</ns0:t>
      </ns0:r>
    </ns0:p>
    <ns0:p ns2:paraId="7696C213">
      <ns0:pPr>
        <ns0:spacing ns0:before="60" ns0:after="60" ns0:line="360" ns0:lineRule="auto"/>
        <ns0:jc ns0:val="center"/>
      </ns0:pPr>
      <ns0:r>
        <ns0:drawing>
          <ns3:inline distT="0" distB="0" distL="0" distR="0">
            <ns3:extent cx="5577840" cy="3873500"/>
            <ns3:effectExtent l="0" t="0" r="0" b="0"/>
            <ns3:docPr id="10" name="image10.png"/>
            <ns3:cNvGraphicFramePr>
              <ns4:graphicFrameLocks noChangeAspect="1"/>
            </ns3:cNvGraphicFramePr>
            <ns4:graphic>
              <ns4:graphicData uri="http://schemas.openxmlformats.org/drawingml/2006/picture">
                <ns5:pic>
                  <ns5:nvPicPr>
                    <ns5:cNvPr id="10" name="image10.png"/>
                    <ns5:cNvPicPr>
                      <ns4:picLocks noChangeAspect="1"/>
                    </ns5:cNvPicPr>
                  </ns5:nvPicPr>
                  <ns5:blipFill>
                    <ns4:blip ns6:embed="rId13"/>
                    <ns4:stretch>
                      <ns4:fillRect/>
                    </ns4:stretch>
                  </ns5:blipFill>
                  <ns5:spPr>
                    <ns4:xfrm>
                      <ns4:off x="0" y="0"/>
                      <ns4:ext cx="5577840" cy="3873865"/>
                    </ns4:xfrm>
                    <ns4:prstGeom prst="rect">
                      <ns4:avLst/>
                    </ns4:prstGeom>
                  </ns5:spPr>
                </ns5:pic>
              </ns4:graphicData>
            </ns4:graphic>
          </ns3:inline>
        </ns0:drawing>
      </ns0:r>
    </ns0:p>
    <ns0:p ns2:paraId="61D39B81">
      <ns0:pPr>
        <ns0:spacing ns0:before="60" ns0:after="60" ns0:line="360" ns0:lineRule="auto"/>
        <ns0:jc ns0:val="center"/>
      </ns0:pPr>
      <ns0:r>
        <ns0:drawing>
          <ns3:inline distT="0" distB="0" distL="0" distR="0">
            <ns3:extent cx="5577840" cy="3873500"/>
            <ns3:effectExtent l="0" t="0" r="0" b="0"/>
            <ns3:docPr id="11" name="image11.png"/>
            <ns3:cNvGraphicFramePr>
              <ns4:graphicFrameLocks noChangeAspect="1"/>
            </ns3:cNvGraphicFramePr>
            <ns4:graphic>
              <ns4:graphicData uri="http://schemas.openxmlformats.org/drawingml/2006/picture">
                <ns5:pic>
                  <ns5:nvPicPr>
                    <ns5:cNvPr id="11" name="image11.png"/>
                    <ns5:cNvPicPr>
                      <ns4:picLocks noChangeAspect="1"/>
                    </ns5:cNvPicPr>
                  </ns5:nvPicPr>
                  <ns5:blipFill>
                    <ns4:blip ns6:embed="rId14"/>
                    <ns4:stretch>
                      <ns4:fillRect/>
                    </ns4:stretch>
                  </ns5:blipFill>
                  <ns5:spPr>
                    <ns4:xfrm>
                      <ns4:off x="0" y="0"/>
                      <ns4:ext cx="5577840" cy="3873865"/>
                    </ns4:xfrm>
                    <ns4:prstGeom prst="rect">
                      <ns4:avLst/>
                    </ns4:prstGeom>
                  </ns5:spPr>
                </ns5:pic>
              </ns4:graphicData>
            </ns4:graphic>
          </ns3:inline>
        </ns0:drawing>
      </ns0:r>
    </ns0:p>
    <ns0:p ns2:paraId="35793112">
      <ns0:pPr>
        <ns0:spacing ns0:before="160" ns0:after="60" ns0:line="420" ns0:lineRule="auto"/>
        <ns0:jc ns0:val="left"/>
      </ns0:pPr>
      <ns0:r>
        <ns0:t>6 结论与展望</ns0:t>
      </ns0:r>
    </ns0:p>
    <ns0:p ns2:paraId="1FDCC103">
      <ns0:pPr>
        <ns0:spacing ns0:before="0" ns0:after="0" ns0:line="420" ns0:lineRule="auto"/>
        <ns0:ind ns0:firstLine="420"/>
        <ns0:jc ns0:val="both"/>
      </ns0:pPr>
      <ns0:r>
        <ns0:t>本文围绕政务服务数字化改革与PPP治理之间的关系，构建了一条由政策文本量化、省级面板估计和项目级扩展分析相衔接的研究路径。与将数字化改革简单写成“全面提升治理质量”的宽泛叙述不同，本文更关注改革首先改变了PPP治理中的哪一类具体环节。基于正式口径的省级主面板和treat_share多期DID/TWFE框架，本文得到三个层次分明且边界清晰的结论。</ns0:t>
      </ns0:r>
    </ns0:p>
    <ns0:p ns2:paraId="064A25FE">
      <ns0:pPr>
        <ns0:spacing ns0:before="0" ns0:after="0" ns0:line="420" ns0:lineRule="auto"/>
        <ns0:ind ns0:firstLine="420"/>
        <ns0:jc ns0:val="both"/>
      </ns0:pPr>
      <ns0:r>
        <ns0:t>第一，在基准TWFE规格下，改革暴露强度较高的地区更可能出现PPP项目推进结构的相对重组。exec_share与treat_share呈显著正向关联，proc_share呈显著负向关联；执行/采购对数比率的补充估计也给出同向信号。这意味着当前最稳固的证据并不是所有治理质量指标同步跃升，而是采购/准备环节与执行环节之间的阶段份额发生重新配置。</ns0:t>
      </ns0:r>
    </ns0:p>
    <ns0:p ns2:paraId="1BAFC4DA">
      <ns0:pPr>
        <ns0:spacing ns0:before="0" ns0:after="0" ns0:line="420" ns0:lineRule="auto"/>
        <ns0:ind ns0:firstLine="420"/>
        <ns0:jc ns0:val="both"/>
      </ns0:pPr>
      <ns0:r>
        <ns0:t>第二，综合治理质量指标存在正向信号，但稳定性不足，不能承担全文主结论。无论在基准结果还是在补充检验中，ppp_quality_zindex都没有形成与推进结构结果同等稳固的统计支持。因此，本文只把这一结果理解为边际改善方向，而不把它提升为“治理质量全面提升”的强断言。与之相应，事件研究结果只能用于说明动态路径和识别边界；趋势调整型DID与wild cluster bootstrap则进一步表明，采购阶段占比下降的防守性支持强于执行阶段占比上升，主结果的推断强度仍需克制表述。</ns0:t>
      </ns0:r>
    </ns0:p>
    <ns0:p ns2:paraId="06450458">
      <ns0:pPr>
        <ns0:spacing ns0:before="0" ns0:after="0" ns0:line="420" ns0:lineRule="auto"/>
        <ns0:ind ns0:firstLine="420"/>
        <ns0:jc ns0:val="both"/>
      </ns0:pPr>
      <ns0:r>
        <ns0:t>第三，文本证据线索支持“接口优先、前端规范先行、部分机制成立”的判断，但不支持完整稳定的强中介链条。A维度所代表的数字治理接口与数据协同率先响应，前端规范和采购—执行治理维度存在局部传导，但严格中介检验并未成立。由于A/B/C/D维度与treat_share都来自政策文本工程，本轮将其统一降格为制度表达与治理重心重分布的证据线索，而不再把它写成独立的强机制识别。项目级扩展分析进一步表明，在严格避免标签泄漏的前提下，PPP项目的高低风险具有一定可识别性，但这一部分仅构成治理辅助识别，不参与主识别，也不替代制度治理。</ns0:t>
      </ns0:r>
    </ns0:p>
    <ns0:p ns2:paraId="7489B298">
      <ns0:pPr>
        <ns0:spacing ns0:before="0" ns0:after="0" ns0:line="420" ns0:lineRule="auto"/>
        <ns0:ind ns0:firstLine="420"/>
        <ns0:jc ns0:val="both"/>
      </ns0:pPr>
      <ns0:r>
        <ns0:t>趋势调整型DID与逐省剔除检验进一步说明，推进结构重组这一核心判断在方向上具有较强稳定性，其中采购阶段占比下降的防守性支撑更强，执行阶段占比上升则对趋势设定和样本扰动更为敏感；wild cluster bootstrap进一步提示，在有限聚类下两项主结果方向仍保留，但推断强度弱于标准聚类结果。也正因如此，本文不将当前结果解释为稳定、强因果的制度效应，而将其界定为过程性、方向性的条件关联证据。</ns0:t>
      </ns0:r>
    </ns0:p>
    <ns0:p ns2:paraId="2175E32E">
      <ns0:pPr>
        <ns0:spacing ns0:before="0" ns0:after="0" ns0:line="420" ns0:lineRule="auto"/>
        <ns0:ind ns0:firstLine="420"/>
        <ns0:jc ns0:val="both"/>
      </ns0:pPr>
      <ns0:r>
        <ns0:t>从学术层面看，本文的贡献可以概括为三点。其一，相较于将数字政府研究主要停留在一般行政效率、营商环境或企业行为结果上，本文把研究焦点进一步推进到PPP治理过程，强调数字化改革首先改造的是政府内部协同、制度接口和流程结构。其二，相较于将PPP研究主要理解为融资组织方式或财政安排，本文将项目推进结构重新界定为观察公共治理过程的窗口，从而把项目阶段转换纳入公共管理问题意识。其三，相较于把政策文本量化写成方法展示，本文将文本分析嵌入治理测度、变量工程和机制解释之中，强调文本方法在公共管理研究中的价值首先来自其能否服务于正式识别框架。</ns0:t>
      </ns0:r>
    </ns0:p>
    <ns0:p ns2:paraId="712FA685">
      <ns0:pPr>
        <ns0:spacing ns0:before="0" ns0:after="0" ns0:line="420" ns0:lineRule="auto"/>
        <ns0:ind ns0:firstLine="420"/>
        <ns0:jc ns0:val="both"/>
      </ns0:pPr>
      <ns0:r>
        <ns0:t>基于上述结果，本文的政策含义可以集中在四个方面。其一，数字政府建设在PPP领域的现实着力点，应更多放在跨部门协同、信息联通和程序接口重构上，而不是期待抽象质量指标的即时跃升。其二，前端规范准入、物有所值论证、财政承受能力审查和实施方案审批等环节，是数字化改革转化为推进结构改善的关键节点，应作为治理重心予以持续优化。其三，财政、发展改革、政务数据主管部门与行业主管部门之间，应围绕项目入库、采购启动、合同执行和信息披露建立共享校核接口，把“采购—执行转换效率”纳入过程性治理绩效，而不是只考核平台上线数量。其四，项目级模型识别可以作为高风险筛查和辅助预警工具，但其使用必须建立在标签与特征严格分离、预测与因果严格分离的原则之上。</ns0:t>
      </ns0:r>
    </ns0:p>
    <ns0:p ns2:paraId="5EEB491F">
      <ns0:pPr>
        <ns0:spacing ns0:before="0" ns0:after="0" ns0:line="420" ns0:lineRule="auto"/>
        <ns0:ind ns0:firstLine="420"/>
        <ns0:jc ns0:val="both"/>
      </ns0:pPr>
      <ns0:r>
        <ns0:t>本文同时存在几项需要明确承认的局限。首先，动态结果显示处理前趋势并不完全平稳，因此事件研究部分只能作为路径展示和识别边界说明。其次，综合治理质量指标目前仍不够稳固，后续若要增强这一部分说服力，需要进一步统一质量指标口径并补强正式结果。再次，机制链条只显示局部传导而非完整闭合，这意味着当前材料更适合支持“阶段性机制”而非“强机制链条”。最后，项目级扩展分析本质上属于预测任务，不能直接服务于因果推断。</ns0:t>
      </ns0:r>
    </ns0:p>
    <ns0:p ns2:paraId="797A0FF9">
      <ns0:pPr>
        <ns0:spacing ns0:before="0" ns0:after="0" ns0:line="420" ns0:lineRule="auto"/>
        <ns0:ind ns0:firstLine="420"/>
        <ns0:jc ns0:val="both"/>
      </ns0:pPr>
      <ns0:r>
        <ns0:t>后续研究可以沿着三个方向推进。第一，进一步完善与统一PPP治理质量指标，使其能够更稳定地区分推进结构优化与综合质量提升之间的关系。第二，结合更细粒度的项目时点数据，考察数字化改革如何影响PPP阶段转换速度和持续时间，从而更直接识别治理过程重组。第三，在继续保持标签边界清晰的前提下，引入更丰富的制度接口、信息披露、前端规范和跨部门协同变量，并更审慎地将项目级辅助识别工具与治理实践对接。</ns0:t>
      </ns0:r>
    </ns0:p>
    <ns0:p ns2:paraId="4943697C">
      <ns0:pPr>
        <ns0:spacing ns0:before="160" ns0:after="60" ns0:line="420" ns0:lineRule="auto"/>
        <ns0:jc ns0:val="left"/>
      </ns0:pPr>
      <ns0:r>
        <ns0:t>附录A 处理变量与样本流转补充说明</ns0:t>
      </ns0:r>
    </ns0:p>
    <ns0:p ns2:paraId="7EA9AC05">
      <ns0:pPr>
        <ns0:spacing ns0:before="0" ns0:after="0" ns0:line="420" ns0:lineRule="auto"/>
        <ns0:ind ns0:firstLine="420"/>
        <ns0:jc ns0:val="both"/>
      </ns0:pPr>
      <ns0:r>
        <ns0:t>本轮修订在正式V3主面板基础上补充提供了province-year层面的treat_share重构材料。根据第5.1节并表工作簿中的“处理变量定义”“处理变量精确公式”和“省份处理时点”工作表，当前处理变量口径可以概括为：post_t = 1[t&gt;=2016]，treat_share_{pt} = (1/N_{pt}) × Σ_i treat_i，did_intensity_{pt} = post_t × treat_share_{pt}，did_any_{pt} = 1(did_intensity_{pt} &gt; 0)。多数进入处理的省份首次处理年份为2016年，西藏为2017年；海南、青海和新疆生产建设兵团在当前口径下未进入处理。</ns0:t>
      </ns0:r>
    </ns0:p>
    <ns0:p ns2:paraId="7EA9AC05">
      <ns0:pPr>
        <ns0:spacing ns0:before="0" ns0:after="0" ns0:line="420" ns0:lineRule="auto"/>
        <ns0:ind ns0:firstLine="420"/>
        <ns0:jc ns0:val="both"/>
      </ns0:pPr>
      <ns0:r>
        <ns0:t>正式V3主面板共有266个省—年观察值，其中262个进入第5.3节正式估计样本，另外4个新疆生产建设兵团观测因基准控制变量不完整而被排除。本轮交付随附appendix_A_treat_share_reconstruction_20260418.csv、appendix_A_province_treatment_timing_20260418.csv、appendix_A_sample_exclusions_20260418.csv和appendix_A_treat_share_definition_tables_20260418.md，分别报告province-year层面的treat_share重构结果、省份首次处理时点、删样清单和处理变量定义表。由于当前仓库未显式保存城市级处理名单与原始阈值底表，本文只能将这些材料界定为省级重构意义上的复核资产，而不将其写成完整城市级复现包。</ns0:t>
      </ns0:r>
    </ns0:p>
    <ns0:p ns2:paraId="4943697C">
      <ns0:pPr>
        <ns0:spacing ns0:before="160" ns0:after="60" ns0:line="420" ns0:lineRule="auto"/>
        <ns0:jc ns0:val="left"/>
      </ns0:pPr>
      <ns0:r>
        <ns0:t>附录B 对数比率补充估计说明</ns0:t>
      </ns0:r>
    </ns0:p>
    <ns0:p ns2:paraId="7EA9AC05">
      <ns0:pPr>
        <ns0:spacing ns0:before="0" ns0:after="0" ns0:line="420" ns0:lineRule="auto"/>
        <ns0:ind ns0:firstLine="420"/>
        <ns0:jc ns0:val="both"/>
      </ns0:pPr>
      <ns0:r>
        <ns0:t>为回应份额型结果变量的构成性约束，本轮修订在正式估计样本上新增报告执行/采购对数比率指标log((exec_share+c)/(proc_share+c))。基准补充估计以执行阶段与采购阶段最小正份额的一半作为连续性修正，取c = 0.0033557047；在与表4一致的地区固定效应、年份固定效应、省级聚类和控制变量设定下，treat_share对应的估计系数为3.1916，标准误为1.4500，正态近似p = 0.0277。将c改为最小正份额、0.01和0.001后，系数方向均保持为正，说明“采购阶段向执行阶段的相对份额重组”这一判断并不完全依赖单一连续性修正规则。</ns0:t>
      </ns0:r>
    </ns0:p>
    <ns0:p ns2:paraId="7EA9AC05">
      <ns0:pPr>
        <ns0:spacing ns0:before="0" ns0:after="0" ns0:line="420" ns0:lineRule="auto"/>
        <ns0:ind ns0:firstLine="420"/>
        <ns0:jc ns0:val="both"/>
      </ns0:pPr>
      <ns0:r>
        <ns0:t>这组结果的作用在于为主文中的结构重组判断提供构成性补强，而不是替代treat_share多期DID/TWFE作为唯一主识别。对应的fresh re-estimate结果已随本轮交付材料写入appendix_B_log_ratio_reestimate_20260418.csv和appendix_B_log_ratio_note_20260418.md，供匿名评审和后续人工复核使用。</ns0:t>
      </ns0:r>
    </ns0:p>
    <ns0:p ns2:paraId="4943697C">
      <ns0:pPr>
        <ns0:spacing ns0:before="160" ns0:after="60" ns0:line="420" ns0:lineRule="auto"/>
        <ns0:jc ns0:val="left"/>
      </ns0:pPr>
      <ns0:r>
        <ns0:t>附录C 文本池与样本流转一致性说明</ns0:t>
      </ns0:r>
    </ns0:p>
    <ns0:p ns2:paraId="7EA9AC05">
      <ns0:pPr>
        <ns0:spacing ns0:before="0" ns0:after="0" ns0:line="420" ns0:lineRule="auto"/>
        <ns0:ind ns0:firstLine="420"/>
        <ns0:jc ns0:val="both"/>
      </ns0:pPr>
      <ns0:r>
        <ns0:t>本轮统一采用以下样本流转口径：1472份政策文本全文池，经正式筛选形成1307份DID文本文档样本，进一步聚合为288个省—年文本单元，再与正式V3主面板对接形成266个省—年观测值，其中262个进入主回归样本，另有10000个项目级扩展观察值用于第5.7节。对应的流转表已写入appendix_C_sample_flow_0419_1528.csv。</ns0:t>
      </ns0:r>
    </ns0:p>
    <ns0:p ns2:paraId="7EA9AC05">
      <ns0:pPr>
        <ns0:spacing ns0:before="0" ns0:after="0" ns0:line="420" ns0:lineRule="auto"/>
        <ns0:ind ns0:firstLine="420"/>
        <ns0:jc ns0:val="both"/>
      </ns0:pPr>
      <ns0:r>
        <ns0:t>审稿报告指出旧附表链条中曾出现“全量政策文本池165”的表述。基于当前仓库可核实的正式源文件，本轮未发现可以支持“165 = 全量文本池”这一manuscript-facing口径的现行资产，因此v2d不采纳该写法，而统一维持1472→1307→288→266→262的正式链条。如果后续确有独立的扩展审计文本窗口，应以不同名称单列，而不能与全文政策文本池混用。</ns0:t>
      </ns0:r>
    </ns0:p>
    <ns0:p ns2:paraId="4943697C">
      <ns0:pPr>
        <ns0:spacing ns0:before="160" ns0:after="60" ns0:line="420" ns0:lineRule="auto"/>
        <ns0:jc ns0:val="left"/>
      </ns0:pPr>
      <ns0:r>
        <ns0:t>附录D 主识别防守结果摘要</ns0:t>
      </ns0:r>
    </ns0:p>
    <ns0:p ns2:paraId="7EA9AC05">
      <ns0:pPr>
        <ns0:spacing ns0:before="0" ns0:after="0" ns0:line="420" ns0:lineRule="auto"/>
        <ns0:ind ns0:firstLine="420"/>
        <ns0:jc ns0:val="both"/>
      </ns0:pPr>
      <ns0:r>
        <ns0:t>主识别防守结果可概括为三点。第一，trend-adjusted DID下，exec_share的系数为0.2263（p = 0.1945），proc_share的系数为-0.3521（p = 0.0485），ppp_quality_zindex的系数为-0.1699（p = 0.6780）；这说明采购阶段占比下降的防守性支撑强于执行阶段占比上升。第二，wild cluster bootstrap下，exec_share、proc_share和ppp_quality_zindex的p值分别为0.0761、0.1221和0.2372，方向判断保留，但更保守推断下的统计强度明显减弱。第三，逐省剔除结果未出现核心系数符号翻转，但强度对样本扰动仍有敏感性。对应汇总表已写入appendix_D_defensive_inference_summary_0419_1528.csv。</ns0:t>
      </ns0:r>
    </ns0:p>
    <ns0:p ns2:paraId="4943697C">
      <ns0:pPr>
        <ns0:spacing ns0:before="160" ns0:after="60" ns0:line="420" ns0:lineRule="auto"/>
        <ns0:jc ns0:val="left"/>
      </ns0:pPr>
      <ns0:r>
        <ns0:t>附录E 处理变量与文本证据线索的来源边界</ns0:t>
      </ns0:r>
    </ns0:p>
    <ns0:p ns2:paraId="7EA9AC05">
      <ns0:pPr>
        <ns0:spacing ns0:before="0" ns0:after="0" ns0:line="420" ns0:lineRule="auto"/>
        <ns0:ind ns0:firstLine="420"/>
        <ns0:jc ns0:val="both"/>
      </ns0:pPr>
      <ns0:r>
        <ns0:t>treat_share由城市处理状态聚合到省—年层面，A/B/C/D维度则来自政策文本工程后的省—年聚合指标。两类变量都以政策文本体系为基础，因此它们之间的相关性不能被直接写成彼此独立的“机制识别”。本轮据此将第5.4节统一改写为“政策文本证据线索与阶段性传导”，其作用是说明制度表达和治理重心如何随改革推进而调整，而不是证明一条与主识别并列、来源完全独立的强机制链条。更详细的来源边界说明已写入appendix_E_source_boundary_0419_1528.md。</ns0:t>
      </ns0:r>
    </ns0:p>
    <ns0:p ns2:paraId="4943697C">
      <ns0:pPr>
        <ns0:spacing ns0:before="160" ns0:after="60" ns0:line="420" ns0:lineRule="auto"/>
        <ns0:jc ns0:val="left"/>
      </ns0:pPr>
      <ns0:r>
        <ns0:t>研究透明度与复现说明</ns0:t>
      </ns0:r>
    </ns0:p>
    <ns0:p ns2:paraId="7EA9AC05">
      <ns0:pPr>
        <ns0:spacing ns0:before="0" ns0:after="0" ns0:line="420" ns0:lineRule="auto"/>
        <ns0:ind ns0:firstLine="420"/>
        <ns0:jc ns0:val="both"/>
      </ns0:pPr>
      <ns0:r>
        <ns0:t>本文使用的政策文本、PPP项目资料以及省级统计/行政数据均来自公开政策文件、正式数据库和可复核的省级公开资料。受原始平台抓取规则、版权限制和整理流程约束，原始底库不随本文同步公开；在不违反平台规则的前提下，作者可提供经清洗后的省级主面板、核心变量说明、文本维度映射表和表图复核清单，以供匿名评审和后续复核使用。</ns0:t>
      </ns0:r>
    </ns0:p>
    <ns0:p ns2:paraId="7EA9AC05">
      <ns0:pPr>
        <ns0:spacing ns0:before="0" ns0:after="0" ns0:line="420" ns0:lineRule="auto"/>
        <ns0:ind ns0:firstLine="420"/>
        <ns0:jc ns0:val="both"/>
      </ns0:pPr>
      <ns0:r>
        <ns0:t>本文的主要复现材料包括文本变量构造说明、主面板变量字典、基准DID/TWFE回归脚本、DID防守性补强脚本以及结果汇总表。考虑到部分原始数据存在平台访问限制，代码和派生数据将在匿名评审结束后按期刊政策和合理申请原则提供。</ns0:t>
      </ns0:r>
    </ns0:p>
    <ns0:p ns2:paraId="7EA9AC05">
      <ns0:pPr>
        <ns0:spacing ns0:before="0" ns0:after="0" ns0:line="420" ns0:lineRule="auto"/>
        <ns0:ind ns0:firstLine="420"/>
        <ns0:jc ns0:val="both"/>
      </ns0:pPr>
      <ns0:r>
        <ns0:t>本研究不涉及对人类受试者的干预性实验，也不处理可识别的个人隐私数据，因而不属于需要单独伦理审批的研究类型。本文在文稿结构整理、语言润饰和一致性核对环节使用了生成式人工智能工具辅助，但研究设计、数据构建、实证估计、结果复核与全部学术责任均由作者承担。</ns0:t>
      </ns0:r>
    </ns0:p>
    <ns0:p ns2:paraId="70B9E2B8">
      <ns0:pPr>
        <ns0:spacing ns0:before="160" ns0:after="60" ns0:line="420" ns0:lineRule="auto"/>
        <ns0:jc ns0:val="left"/>
      </ns0:pPr>
      <ns0:r>
        <ns0:t>参考文献</ns0:t>
      </ns0:r>
    </ns0:p>
    <ns0:p ns2:paraId="3AD017C0">
      <ns0:pPr>
        <ns0:spacing ns0:before="0" ns0:after="0" ns0:line="420" ns0:lineRule="auto"/>
        <ns0:ind ns0:firstLine="420"/>
        <ns0:jc ns0:val="both"/>
      </ns0:pPr>
      <ns0:r>
        <ns0:t>1. 孙慧, 梁英子, 袁婷婷, 王轶涵. 2024. PPP政策内容分析及其市场影响. 系统工程学报.</ns0:t>
      </ns0:r>
    </ns0:p>
    <ns0:p ns2:paraId="3B8F875F">
      <ns0:pPr>
        <ns0:spacing ns0:before="0" ns0:after="0" ns0:line="420" ns0:lineRule="auto"/>
        <ns0:ind ns0:firstLine="420"/>
        <ns0:jc ns0:val="both"/>
      </ns0:pPr>
      <ns0:r>
        <ns0:t>2. 汪峰, 范明明, 张牧扬, 崔杰. 2025. 经济增长目标引领与项目推进：基于中国PPP项目进程的分析. 世界经济.</ns0:t>
      </ns0:r>
    </ns0:p>
    <ns0:p ns2:paraId="2700D4A2">
      <ns0:pPr>
        <ns0:spacing ns0:before="0" ns0:after="0" ns0:line="420" ns0:lineRule="auto"/>
        <ns0:ind ns0:firstLine="420"/>
        <ns0:jc ns0:val="both"/>
      </ns0:pPr>
      <ns0:r>
        <ns0:t>3. 王渊, 李牧南, 梁彦希. 2025. 政策取向一致性与企业高质量绿色转型. 管理世界.</ns0:t>
      </ns0:r>
    </ns0:p>
    <ns0:p ns2:paraId="43EAED88">
      <ns0:pPr>
        <ns0:spacing ns0:before="0" ns0:after="0" ns0:line="420" ns0:lineRule="auto"/>
        <ns0:ind ns0:firstLine="420"/>
        <ns0:jc ns0:val="both"/>
      </ns0:pPr>
      <ns0:r>
        <ns0:t>4. 廖燕珠, 莫桂芳. 2025. 变与稳：危机事件触发政策系统的差异化调适——基于机器学习的省级环境政策文本分析. 公共管理与政策评论.</ns0:t>
      </ns0:r>
    </ns0:p>
    <ns0:p ns2:paraId="20D22E42">
      <ns0:pPr>
        <ns0:spacing ns0:before="0" ns0:after="0" ns0:line="420" ns0:lineRule="auto"/>
        <ns0:ind ns0:firstLine="420"/>
        <ns0:jc ns0:val="both"/>
      </ns0:pPr>
      <ns0:r>
        <ns0:t>5. 肖永慧. 2025. 大数据综合试验区提升企业数据资产化的机制——基于多期DID模型的实证分析. 中国流通经济, (12): 105-122. DOI: 10.14089/j.cnki.cn11-3664/f.2025.12.008.</ns0:t>
      </ns0:r>
    </ns0:p>
    <ns0:p ns2:paraId="33578262">
      <ns0:pPr>
        <ns0:spacing ns0:before="0" ns0:after="0" ns0:line="420" ns0:lineRule="auto"/>
        <ns0:ind ns0:firstLine="420"/>
        <ns0:jc ns0:val="both"/>
      </ns0:pPr>
      <ns0:r>
        <ns0:t>6. 范柏乃, 盛中华. 2024. 数字风险治理：研究脉络、理论框架及未来展望. 管理世界.</ns0:t>
      </ns0:r>
    </ns0:p>
    <ns0:p ns2:paraId="64DCA31D">
      <ns0:pPr>
        <ns0:spacing ns0:before="0" ns0:after="0" ns0:line="420" ns0:lineRule="auto"/>
        <ns0:ind ns0:firstLine="420"/>
        <ns0:jc ns0:val="both"/>
      </ns0:pPr>
      <ns0:r>
        <ns0:t>7. 王蓝蓝, 刘艳丽. 2024. 基于BERTopic的计算机视觉领域热点技术主题及演化分析. 科学观察, 19(2). DOI: 10.15978/j.cnki.1673-5668.202402005.</ns0:t>
      </ns0:r>
    </ns0:p>
    <ns0:p ns2:paraId="7DD5A20F">
      <ns0:pPr>
        <ns0:spacing ns0:before="0" ns0:after="0" ns0:line="420" ns0:lineRule="auto"/>
        <ns0:ind ns0:firstLine="420"/>
        <ns0:jc ns0:val="both"/>
      </ns0:pPr>
      <ns0:r>
        <ns0:t>8. 曹玲静, 张志强. 2022. 政策信息学视角下政策文本量化方法研究进展. DOI: 10.11968/tsyqb.1003-6938.2022087.</ns0:t>
      </ns0:r>
    </ns0:p>
    <ns0:p ns2:paraId="13672D30">
      <ns0:pPr>
        <ns0:spacing ns0:before="0" ns0:after="0" ns0:line="420" ns0:lineRule="auto"/>
        <ns0:ind ns0:firstLine="420"/>
        <ns0:jc ns0:val="both"/>
      </ns0:pPr>
      <ns0:r>
        <ns0:t>9. 边江泽, 余湄, 秦淇林. 2025. 注册制改革、信息披露与投资者行为——基于创业板定向增发的证据. 管理世界.</ns0:t>
      </ns0:r>
    </ns0:p>
    <ns0:p ns2:paraId="291DE98B">
      <ns0:pPr>
        <ns0:spacing ns0:before="0" ns0:after="0" ns0:line="420" ns0:lineRule="auto"/>
        <ns0:ind ns0:firstLine="420"/>
        <ns0:jc ns0:val="both"/>
      </ns0:pPr>
      <ns0:r>
        <ns0:t>10. 刘敏, 张露祥, 平卫英, 黄斐. 2025. 基于大语言模型的多阶段网络舆情驱动群体共识决策方法研究. 管理学报.</ns0:t>
      </ns0:r>
    </ns0:p>
    <ns0:p ns2:paraId="759EF7BB">
      <ns0:pPr>
        <ns0:spacing ns0:before="0" ns0:after="0" ns0:line="420" ns0:lineRule="auto"/>
        <ns0:ind ns0:firstLine="420"/>
        <ns0:jc ns0:val="both"/>
      </ns0:pPr>
      <ns0:r>
        <ns0:t>11. 范小云, 王业东, 王道平, 郭文璇, 胡煊翊. 2022. 不同来源金融文本信息含量的异质性分析——基于混合式文本情绪测度方法. 管理世界.</ns0:t>
      </ns0:r>
    </ns0:p>
    <ns0:p ns2:paraId="3CEA9451">
      <ns0:pPr>
        <ns0:spacing ns0:before="0" ns0:after="0" ns0:line="420" ns0:lineRule="auto"/>
        <ns0:ind ns0:firstLine="420"/>
        <ns0:jc ns0:val="both"/>
      </ns0:pPr>
      <ns0:r>
        <ns0:t>12. 李牧南, 王亮, 赖华鹏. 2024. 基于深度学习的我国科技政策属性识别. 科研管理, 45(2). DOI: 10.19571/j.cnki.1000-2995.2024.02.001.</ns0:t>
      </ns0:r>
    </ns0:p>
    <ns0:p ns2:paraId="08FB622C">
      <ns0:pPr>
        <ns0:spacing ns0:before="0" ns0:after="0" ns0:line="420" ns0:lineRule="auto"/>
        <ns0:ind ns0:firstLine="420"/>
        <ns0:jc ns0:val="both"/>
      </ns0:pPr>
      <ns0:r>
        <ns0:t>13. Saito, T., &amp; Rehmsmeier, M. 2015. The precision-recall plot is more informative than the ROC plot when evaluating binary classifiers on imbalanced datasets. PLOS ONE, 10(3): e0118432.</ns0:t>
      </ns0:r>
    </ns0:p>
    <ns0:p ns2:paraId="43020247">
      <ns0:pPr>
        <ns0:spacing ns0:before="0" ns0:after="0" ns0:line="420" ns0:lineRule="auto"/>
        <ns0:ind ns0:firstLine="420"/>
        <ns0:jc ns0:val="both"/>
      </ns0:pPr>
      <ns0:r>
        <ns0:t>14. Sun, L., &amp; Abraham, S. 2021. Estimating dynamic treatment effects in event studies with heterogeneous treatment effects. Journal of Econometrics, 225(2): 175-199.</ns0:t>
      </ns0:r>
    </ns0:p>
    <ns0:sectPr>
      <ns0:pgSz ns0:w="11906" ns0:h="16838"/>
      <ns0:pgMar ns0:top="1440" ns0:right="1800" ns0:bottom="1440" ns0:left="1800" ns0:header="851" ns0:footer="992" ns0:gutter="0"/>
      <ns0:cols ns0:space="720" ns0:num="1"/>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nforcement="0"/>
  <w:compat>
    <w:useFELayout/>
    <w:splitPgBreakAndParaMark/>
    <w:compatSetting w:name="compatibilityMode" w:uri="http://schemas.microsoft.com/office/word" w:val="12"/>
  </w:compat>
  <w:rsids>
    <w:rsidRoot w:val="00000000"/>
    <w:rsid w:val="00C91C98"/>
    <w:rsid w:val="12F46456"/>
    <w:rsid w:val="1BCD6533"/>
    <w:rsid w:val="1C890801"/>
    <w:rsid w:val="2927562A"/>
    <w:rsid w:val="33A37FA3"/>
    <w:rsid w:val="3F6F7935"/>
    <w:rsid w:val="4A0D3F70"/>
    <w:rsid w:val="5C250D3B"/>
    <w:rsid w:val="674F751F"/>
    <w:rsid w:val="726245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sz w:val="24"/>
      <w:szCs w:val="24"/>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10279</Words>
  <Characters>11329</Characters>
  <TotalTime>8</TotalTime>
  <ScaleCrop>false</ScaleCrop>
  <LinksUpToDate>false</LinksUpToDate>
  <CharactersWithSpaces>11348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2026-04-15T14:35:00Z</dcterms:created>
  <dc:creator>OpenAI Codex</dc:creator>
  <cp:lastModifiedBy>朱健齐金融STU</cp:lastModifiedBy>
  <dcterms:modified xsi:type="dcterms:W3CDTF">2026-04-17T16:12:57Z</dcterms:modified>
  <dc:title>政务服务数字化改革如何优化PPP项目推进与治理过程？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eyJoZGlkIjoiNjdmMjc5MTM3ZGU2MzYwNzc2NmY5ZjMzMzNmYTc5NjciLCJ1c2VySWQiOiI1NDQyNTk4OTEifQ==</vt:lpwstr>
  </property>
  <property fmtid="{D5CDD505-2E9C-101B-9397-08002B2CF9AE}" pid="3" name="KSOProductBuildVer">
    <vt:lpwstr>2052-12.1.0.25225</vt:lpwstr>
  </property>
  <property fmtid="{D5CDD505-2E9C-101B-9397-08002B2CF9AE}" pid="4" name="ICV">
    <vt:lpwstr>491546AD35AE42E6A9CBD4CE35DF6D18_12</vt:lpwstr>
  </property>
</Properties>
</file>