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流调用抑郁自评量表（CES-D</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因子</w:t>
            </w:r>
          </w:p>
        </w:tc>
        <w:tc>
          <w:tcPr>
            <w:tcW w:w="4148" w:type="dxa"/>
          </w:tcPr>
          <w:p>
            <w:pPr>
              <w:jc w:val="center"/>
              <w:rPr>
                <w:rFonts w:ascii="Times New Roman" w:hAnsi="Times New Roman" w:eastAsia="宋体" w:cs="Times New Roman"/>
                <w:b/>
                <w:bCs/>
                <w:kern w:val="0"/>
                <w:sz w:val="24"/>
                <w:szCs w:val="24"/>
              </w:rPr>
            </w:pPr>
            <w:r>
              <w:rPr>
                <w:rFonts w:hint="eastAsia" w:ascii="Times New Roman" w:hAnsi="Times New Roman" w:eastAsia="宋体" w:cs="Times New Roman"/>
                <w:b/>
                <w:bCs/>
                <w:kern w:val="0"/>
                <w:sz w:val="24"/>
                <w:szCs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抑郁情绪</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积极情绪</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躯体症状/活动阻滞</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人际关系</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总分</w:t>
            </w:r>
          </w:p>
        </w:tc>
        <w:tc>
          <w:tcPr>
            <w:tcW w:w="4148" w:type="dxa"/>
          </w:tcPr>
          <w:p>
            <w:pPr>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varE</w:t>
            </w:r>
            <w:bookmarkStart w:id="0" w:name="_GoBack"/>
            <w:bookmarkEnd w:id="0"/>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-29210</wp:posOffset>
                </wp:positionH>
                <wp:positionV relativeFrom="paragraph">
                  <wp:posOffset>173355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pt;margin-top:13.65pt;height:32.25pt;width:77.35pt;mso-position-horizontal-relative:margin;z-index:251661312;v-text-anchor:middle;mso-width-relative:page;mso-height-relative:page;" fillcolor="#4472C4 [3204]" filled="t" stroked="t" coordsize="21600,21600" o:gfxdata="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GKf86P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
      <w:pPr>
        <w:spacing w:line="360" w:lineRule="auto"/>
        <w:jc w:val="both"/>
        <w:rPr>
          <w:rFonts w:ascii="楷体" w:hAnsi="楷体" w:eastAsia="楷体" w:cs="楷体"/>
          <w:b/>
          <w:bCs/>
          <w:sz w:val="24"/>
          <w:szCs w:val="32"/>
        </w:rPr>
      </w:pPr>
    </w:p>
    <w:tbl>
      <w:tblPr>
        <w:tblStyle w:val="7"/>
        <w:tblpPr w:leftFromText="180" w:rightFromText="180" w:vertAnchor="text" w:horzAnchor="page" w:tblpX="1838" w:tblpY="34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var1</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4DD740B"/>
    <w:rsid w:val="09747DC3"/>
    <w:rsid w:val="0A1D6E0A"/>
    <w:rsid w:val="0F347CD0"/>
    <w:rsid w:val="154A6388"/>
    <w:rsid w:val="1BCC68FF"/>
    <w:rsid w:val="1D2D6E05"/>
    <w:rsid w:val="297A4803"/>
    <w:rsid w:val="2A344D59"/>
    <w:rsid w:val="2B2602ED"/>
    <w:rsid w:val="2B95161D"/>
    <w:rsid w:val="3539082B"/>
    <w:rsid w:val="3D74305E"/>
    <w:rsid w:val="498B7BF8"/>
    <w:rsid w:val="4E883B80"/>
    <w:rsid w:val="4EF57314"/>
    <w:rsid w:val="50A23D43"/>
    <w:rsid w:val="511A489A"/>
    <w:rsid w:val="51621A77"/>
    <w:rsid w:val="537C2F4C"/>
    <w:rsid w:val="53D24322"/>
    <w:rsid w:val="546B110C"/>
    <w:rsid w:val="5B8124AF"/>
    <w:rsid w:val="5D270D9B"/>
    <w:rsid w:val="5E203FAC"/>
    <w:rsid w:val="60A9262A"/>
    <w:rsid w:val="637A07A3"/>
    <w:rsid w:val="6D8A2653"/>
    <w:rsid w:val="6DC7536F"/>
    <w:rsid w:val="745802A9"/>
    <w:rsid w:val="783D29E4"/>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2021-12-08T09:04:10Z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