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lang w:val="en-US" w:eastAsia="zh-CN"/>
        </w:rPr>
        <w:t>智能化心身调节</w:t>
      </w:r>
      <w:r>
        <w:rPr>
          <w:rFonts w:ascii="Times New Roman" w:hAnsi="Times New Roman" w:eastAsia="宋体" w:cs="Times New Roman"/>
          <w:b/>
          <w:bCs/>
          <w:sz w:val="32"/>
          <w:szCs w:val="32"/>
        </w:rPr>
        <w:t>量表（</w:t>
      </w:r>
      <w:r>
        <w:rPr>
          <w:rFonts w:hint="eastAsia" w:ascii="Times New Roman" w:hAnsi="Times New Roman" w:eastAsia="宋体" w:cs="Times New Roman"/>
          <w:b/>
          <w:bCs/>
          <w:sz w:val="32"/>
          <w:szCs w:val="32"/>
          <w:lang w:val="en-US" w:eastAsia="zh-CN"/>
        </w:rPr>
        <w:t>IPA</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r>
        <w:rPr>
          <w:rFonts w:hint="eastAsia" w:eastAsiaTheme="minorEastAsia"/>
          <w:lang w:eastAsia="zh-CN"/>
        </w:rPr>
        <w:drawing>
          <wp:inline distT="0" distB="0" distL="114300" distR="114300">
            <wp:extent cx="5341620" cy="1977390"/>
            <wp:effectExtent l="4445" t="4445" r="6985" b="184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both"/>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posOffset>-7620</wp:posOffset>
                </wp:positionH>
                <wp:positionV relativeFrom="paragraph">
                  <wp:posOffset>154305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pt;margin-top:12.15pt;height:32.25pt;width:77.35pt;mso-position-horizontal-relative:margin;z-index:251663360;v-text-anchor:middle;mso-width-relative:page;mso-height-relative:page;" fillcolor="#4472C4 [3204]" filled="t" stroked="t" coordsize="21600,21600" o:gfxdata="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3AlhX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pPr w:leftFromText="180" w:rightFromText="180" w:vertAnchor="text" w:horzAnchor="page" w:tblpX="1965" w:tblpY="1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varC</w:t>
            </w:r>
          </w:p>
        </w:tc>
      </w:tr>
    </w:tbl>
    <w:p>
      <w:pPr>
        <w:spacing w:line="360" w:lineRule="exact"/>
        <w:rPr>
          <w:rFonts w:hint="eastAsia" w:ascii="宋体" w:hAnsi="宋体" w:eastAsia="宋体"/>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Times New Roman" w:hAnsi="Times New Roman" w:eastAsia="宋体" w:cs="Times New Roman"/>
          <w:sz w:val="24"/>
          <w:szCs w:val="32"/>
        </w:rPr>
      </w:pPr>
      <w:r>
        <w:rPr>
          <w:rFonts w:hint="eastAsia" w:ascii="宋体" w:hAnsi="宋体" w:eastAsia="宋体"/>
        </w:rPr>
        <w:t>*本报告必须经由专业人员解释才有效。</w:t>
      </w:r>
    </w:p>
    <w:p>
      <w:pPr>
        <w:spacing w:line="400" w:lineRule="exact"/>
        <w:ind w:firstLine="5760" w:firstLineChars="24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b/>
          <w:bCs/>
        </w:rPr>
      </w:pPr>
      <w:r>
        <w:rPr>
          <w:rFonts w:ascii="Times New Roman" w:hAnsi="Times New Roman" w:eastAsia="宋体" w:cs="Times New Roman"/>
          <w:sz w:val="24"/>
          <w:szCs w:val="32"/>
        </w:rPr>
        <w:t xml:space="preserve">                                        </w:t>
      </w:r>
      <w:bookmarkStart w:id="0" w:name="_GoBack"/>
      <w:bookmarkEnd w:id="0"/>
      <w:r>
        <w:rPr>
          <w:rFonts w:ascii="Times New Roman" w:hAnsi="Times New Roman" w:eastAsia="宋体" w:cs="Times New Roman"/>
          <w:sz w:val="24"/>
          <w:szCs w:val="32"/>
        </w:rPr>
        <w:t xml:space="preserve">   </w:t>
      </w:r>
      <w:r>
        <w:rPr>
          <w:rFonts w:hint="eastAsia" w:ascii="Times New Roman" w:hAnsi="Times New Roman" w:eastAsia="宋体" w:cs="Times New Roman"/>
          <w:sz w:val="24"/>
          <w:szCs w:val="32"/>
          <w:lang w:val="en-US" w:eastAsia="zh-CN"/>
        </w:rPr>
        <w:t xml:space="preserve">     </w:t>
      </w:r>
      <w:r>
        <w:rPr>
          <w:rFonts w:ascii="Times New Roman" w:hAnsi="Times New Roman" w:eastAsia="宋体" w:cs="Times New Roman"/>
          <w:sz w:val="24"/>
          <w:szCs w:val="32"/>
        </w:rPr>
        <w:t>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C7551"/>
    <w:rsid w:val="00462675"/>
    <w:rsid w:val="004F6847"/>
    <w:rsid w:val="005B3662"/>
    <w:rsid w:val="0061344F"/>
    <w:rsid w:val="00683A96"/>
    <w:rsid w:val="006C4ED6"/>
    <w:rsid w:val="007E4262"/>
    <w:rsid w:val="00820CCF"/>
    <w:rsid w:val="00971115"/>
    <w:rsid w:val="00980BC1"/>
    <w:rsid w:val="009B7AC4"/>
    <w:rsid w:val="00A9781A"/>
    <w:rsid w:val="00AD23A8"/>
    <w:rsid w:val="00B03A8A"/>
    <w:rsid w:val="00D07FFE"/>
    <w:rsid w:val="00D52517"/>
    <w:rsid w:val="00E6763C"/>
    <w:rsid w:val="00FA2FCE"/>
    <w:rsid w:val="033F3A84"/>
    <w:rsid w:val="05D95AD2"/>
    <w:rsid w:val="095A2A9B"/>
    <w:rsid w:val="0D0D0FEE"/>
    <w:rsid w:val="10302479"/>
    <w:rsid w:val="10AA28BE"/>
    <w:rsid w:val="1DEF3E1F"/>
    <w:rsid w:val="1E311591"/>
    <w:rsid w:val="1F7C2922"/>
    <w:rsid w:val="20E43EB5"/>
    <w:rsid w:val="22481C5A"/>
    <w:rsid w:val="29801A67"/>
    <w:rsid w:val="2C7171E2"/>
    <w:rsid w:val="2ED83501"/>
    <w:rsid w:val="31447C5C"/>
    <w:rsid w:val="34E52EE9"/>
    <w:rsid w:val="49782000"/>
    <w:rsid w:val="4D2617D0"/>
    <w:rsid w:val="4ECB479F"/>
    <w:rsid w:val="50AE5B5B"/>
    <w:rsid w:val="538F4400"/>
    <w:rsid w:val="53E931BD"/>
    <w:rsid w:val="555261DC"/>
    <w:rsid w:val="5C3C145A"/>
    <w:rsid w:val="65323521"/>
    <w:rsid w:val="67EA3DDA"/>
    <w:rsid w:val="6B4101E1"/>
    <w:rsid w:val="6BD17472"/>
    <w:rsid w:val="6E921B7A"/>
    <w:rsid w:val="6FBE2551"/>
    <w:rsid w:val="6FDC2C7D"/>
    <w:rsid w:val="75D85C3E"/>
    <w:rsid w:val="7CD8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24964336661911"/>
          <c:y val="0.0990749030140257"/>
          <c:w val="0.915525439847836"/>
          <c:h val="0.771232467920024"/>
        </c:manualLayout>
      </c:layout>
      <c:barChart>
        <c:barDir val="col"/>
        <c:grouping val="clustered"/>
        <c:varyColors val="0"/>
        <c:ser>
          <c:idx val="0"/>
          <c:order val="0"/>
          <c:tx>
            <c:strRef>
              <c:f>Sheet1!$B$1</c:f>
              <c:strCache>
                <c:ptCount val="1"/>
                <c:pt idx="0">
                  <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焦虑自评量表</c:v>
                </c:pt>
                <c:pt idx="1">
                  <c:v>抑郁自评量表</c:v>
                </c:pt>
                <c:pt idx="2">
                  <c:v>阿森斯失眠量表</c:v>
                </c:pt>
                <c:pt idx="3">
                  <c:v>总分</c:v>
                </c:pt>
              </c:strCache>
            </c:strRef>
          </c:cat>
          <c:val>
            <c:numRef>
              <c:f>Sheet1!$B$2:$B$5</c:f>
              <c:numCache>
                <c:formatCode>General</c:formatCode>
                <c:ptCount val="4"/>
                <c:pt idx="0">
                  <c:v>20</c:v>
                </c:pt>
                <c:pt idx="1">
                  <c:v>15</c:v>
                </c:pt>
                <c:pt idx="2">
                  <c:v>30</c:v>
                </c:pt>
                <c:pt idx="3">
                  <c:v>65</c:v>
                </c:pt>
              </c:numCache>
            </c:numRef>
          </c:val>
        </c:ser>
        <c:dLbls>
          <c:showLegendKey val="0"/>
          <c:showVal val="1"/>
          <c:showCatName val="0"/>
          <c:showSerName val="0"/>
          <c:showPercent val="0"/>
          <c:showBubbleSize val="0"/>
        </c:dLbls>
        <c:gapWidth val="219"/>
        <c:overlap val="-27"/>
        <c:axId val="389565873"/>
        <c:axId val="474619159"/>
      </c:barChart>
      <c:catAx>
        <c:axId val="38956587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4619159"/>
        <c:crosses val="autoZero"/>
        <c:auto val="1"/>
        <c:lblAlgn val="ctr"/>
        <c:lblOffset val="100"/>
        <c:noMultiLvlLbl val="0"/>
      </c:catAx>
      <c:valAx>
        <c:axId val="474619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956587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Words>
  <Characters>319</Characters>
  <Lines>2</Lines>
  <Paragraphs>1</Paragraphs>
  <TotalTime>9</TotalTime>
  <ScaleCrop>false</ScaleCrop>
  <LinksUpToDate>false</LinksUpToDate>
  <CharactersWithSpaces>373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2021-07-20T02:19:49Z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