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纽卡斯尔抑郁诊断量表（NDI</w:t>
      </w:r>
      <w:r>
        <w:rPr>
          <w:rFonts w:ascii="Times New Roman" w:hAnsi="Times New Roman" w:eastAsia="宋体" w:cs="Times New Roman"/>
          <w:b/>
          <w:bCs/>
          <w:sz w:val="32"/>
          <w:szCs w:val="32"/>
        </w:rPr>
        <w:t>）报告</w:t>
      </w:r>
    </w:p>
    <w:p>
      <w:pPr>
        <w:rPr>
          <w:b/>
          <w:bCs/>
        </w:rPr>
      </w:pPr>
      <w:bookmarkStart w:id="0" w:name="_GoBack"/>
      <w:bookmarkEnd w:id="0"/>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hint="eastAsia"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题项</w:t>
            </w:r>
          </w:p>
        </w:tc>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恰当的人格</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无相应的心因</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抑郁独特的性质，持续性悲哀</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体重减轻</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既往抑郁发作</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精神运动迟滞</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焦虑</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虚无妄想</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责备他人</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罪恶感</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总分</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varK</w:t>
            </w:r>
          </w:p>
        </w:tc>
      </w:tr>
    </w:tbl>
    <w:p>
      <w:pPr>
        <w:jc w:val="both"/>
        <w:rPr>
          <w:rFonts w:hint="eastAsia"/>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-29210</wp:posOffset>
                </wp:positionH>
                <wp:positionV relativeFrom="paragraph">
                  <wp:posOffset>173355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13.65pt;height:32.25pt;width:77.35pt;mso-position-horizontal-relative:margin;z-index:251661312;v-text-anchor:middle;mso-width-relative:page;mso-height-relative:page;" fillcolor="#4472C4 [3204]" filled="t" stroked="t" coordsize="21600,21600" o:gfxdata="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Kf86P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
      <w:pPr>
        <w:spacing w:line="360" w:lineRule="auto"/>
        <w:jc w:val="both"/>
        <w:rPr>
          <w:rFonts w:ascii="楷体" w:hAnsi="楷体" w:eastAsia="楷体" w:cs="楷体"/>
          <w:b/>
          <w:bCs/>
          <w:sz w:val="24"/>
          <w:szCs w:val="32"/>
        </w:rPr>
      </w:pPr>
    </w:p>
    <w:tbl>
      <w:tblPr>
        <w:tblStyle w:val="7"/>
        <w:tblpPr w:leftFromText="180" w:rightFromText="180" w:vertAnchor="text" w:horzAnchor="page" w:tblpX="1838" w:tblpY="3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4DD740B"/>
    <w:rsid w:val="09747DC3"/>
    <w:rsid w:val="0A1D6E0A"/>
    <w:rsid w:val="154A6388"/>
    <w:rsid w:val="1BCC68FF"/>
    <w:rsid w:val="1D2D6E05"/>
    <w:rsid w:val="297A4803"/>
    <w:rsid w:val="2A344D59"/>
    <w:rsid w:val="2B2602ED"/>
    <w:rsid w:val="2B95161D"/>
    <w:rsid w:val="3539082B"/>
    <w:rsid w:val="3D74305E"/>
    <w:rsid w:val="40935251"/>
    <w:rsid w:val="498B7BF8"/>
    <w:rsid w:val="4E883B80"/>
    <w:rsid w:val="4EF57314"/>
    <w:rsid w:val="50A23D43"/>
    <w:rsid w:val="511A489A"/>
    <w:rsid w:val="51621A77"/>
    <w:rsid w:val="537C2F4C"/>
    <w:rsid w:val="53D24322"/>
    <w:rsid w:val="5B8124AF"/>
    <w:rsid w:val="5D270D9B"/>
    <w:rsid w:val="5E203FAC"/>
    <w:rsid w:val="60A9262A"/>
    <w:rsid w:val="637A07A3"/>
    <w:rsid w:val="6D8A2653"/>
    <w:rsid w:val="6DC7536F"/>
    <w:rsid w:val="745802A9"/>
    <w:rsid w:val="783D29E4"/>
    <w:rsid w:val="7F6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0</TotalTime>
  <ScaleCrop>false</ScaleCrop>
  <LinksUpToDate>false</LinksUpToDate>
  <CharactersWithSpaces>438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2021-12-07T06:55:31Z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CC74A16C3A16419EBB235313561A0486</vt:lpwstr>
  </property>
</Properties>
</file>