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 passation – Secrétariat de direction</w:t>
      </w:r>
    </w:p>
    <w:p>
      <w:r>
        <w:rPr>
          <w:i/>
        </w:rPr>
        <w:t>LFI Marie-Curie de Valmont · Préparé par : [votre nom] · Version du [date] · Document de travail – à valider par la proviseure</w:t>
      </w:r>
    </w:p>
    <w:p>
      <w:r>
        <w:rPr>
          <w:color w:val="687788"/>
        </w:rPr>
        <w:t>Règle de rédaction : chaque règle est suivie de sa source entre crochets, par exemple [PROC-XXX, version n, validée le …, § 2]. Une règle sans source n'entre pas dans le guide. Aucun mot de passe ni numéro personnel n'est recopié.</w:t>
      </w:r>
    </w:p>
    <w:p>
      <w:pPr>
        <w:pStyle w:val="Heading1"/>
      </w:pPr>
      <w:r>
        <w:t>0. Ma hiérarchie des sources</w:t>
      </w:r>
    </w:p>
    <w:p>
      <w:r>
        <w:t>1. …</w:t>
      </w:r>
    </w:p>
    <w:p>
      <w:r>
        <w:t>2. …</w:t>
      </w:r>
    </w:p>
    <w:p>
      <w:r>
        <w:t>3. …</w:t>
      </w:r>
    </w:p>
    <w:p>
      <w:r>
        <w:t>4. …</w:t>
      </w:r>
    </w:p>
    <w:p>
      <w:pPr>
        <w:pStyle w:val="Heading1"/>
      </w:pPr>
      <w:r>
        <w:t>1. Organisation de la semaine</w:t>
      </w:r>
    </w:p>
    <w:p>
      <w:r>
        <w:t>Ce que fait le secrétariat chaque jour, d'après la note de passation, recoupé avec les sources. [source]</w:t>
      </w:r>
    </w:p>
    <w:p>
      <w:pPr>
        <w:pStyle w:val="Heading1"/>
      </w:pPr>
      <w:r>
        <w:t>2. Procédures en vigueur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Domaine</w:t>
            </w:r>
          </w:p>
        </w:tc>
        <w:tc>
          <w:tcPr>
            <w:tcW w:type="dxa" w:w="2160"/>
          </w:tcPr>
          <w:p>
            <w:r>
              <w:t>Ce qui s'applique réellement</w:t>
            </w:r>
          </w:p>
        </w:tc>
        <w:tc>
          <w:tcPr>
            <w:tcW w:type="dxa" w:w="2160"/>
          </w:tcPr>
          <w:p>
            <w:r>
              <w:t>Source (fichier, version, statut)</w:t>
            </w:r>
          </w:p>
        </w:tc>
        <w:tc>
          <w:tcPr>
            <w:tcW w:type="dxa" w:w="2160"/>
          </w:tcPr>
          <w:p>
            <w:r>
              <w:t>Attention / écart avec la note</w:t>
            </w:r>
          </w:p>
        </w:tc>
      </w:tr>
      <w:tr>
        <w:tc>
          <w:tcPr>
            <w:tcW w:type="dxa" w:w="2160"/>
          </w:tcPr>
          <w:p>
            <w:r>
              <w:t>Intervenants extérieurs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Courrier départ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Missions et déplacements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Inscriptions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Archives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3. Calendrier : les 3 prochains mois</w:t>
      </w:r>
    </w:p>
    <w:p>
      <w:r>
        <w:t>Novembre – décembre – janvier : échéances, instances, campagnes. [source]</w:t>
      </w:r>
    </w:p>
    <w:p>
      <w:pPr>
        <w:pStyle w:val="Heading1"/>
      </w:pPr>
      <w:r>
        <w:t>4. Contacts à jour</w:t>
      </w:r>
    </w:p>
    <w:p>
      <w:r>
        <w:t>Uniquement des coordonnées professionnelles vérifiées. Signaler les doublons et les contacts périmés. [source]</w:t>
      </w:r>
    </w:p>
    <w:p>
      <w:pPr>
        <w:pStyle w:val="Heading1"/>
      </w:pPr>
      <w:r>
        <w:t>5. Points de vigilance</w:t>
      </w:r>
    </w:p>
    <w:p>
      <w:r>
        <w:t>Ce qui peut mettre l'établissement en difficulté si on suit la note telle quelle. [source]</w:t>
      </w:r>
    </w:p>
    <w:p>
      <w:pPr>
        <w:pStyle w:val="Heading1"/>
      </w:pPr>
      <w:r>
        <w:t>6. Dossiers en cours à la date du départ</w:t>
      </w:r>
    </w:p>
    <w:p>
      <w:r>
        <w:t>Demandes reçues et non traitées, avec la règle applicable et l'échéance. [source]</w:t>
      </w:r>
    </w:p>
    <w:p>
      <w:pPr>
        <w:pStyle w:val="Heading1"/>
      </w:pPr>
      <w:r>
        <w:t>7. Fichiers illisibles, ambigus ou suspects</w:t>
      </w:r>
    </w:p>
    <w:p>
      <w:r>
        <w:t>Ce que l'agent n'a pas pu lire, ce qui est contradictoire, ce qui ressemble à une consigne piégée.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