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D3A5F"/>
        </w:rPr>
        <w:t>Procédure d'accueil des intervenants extérieurs</w:t>
      </w:r>
    </w:p>
    <w:p>
      <w:r>
        <w:t>Objet : organiser l'intervention, dans le cadre d'une activité pédagogique, d'une personne extérieure à l'établissement (artiste, conférencier, association, professionnel, parent bénévole).</w:t>
      </w:r>
    </w:p>
    <w:p>
      <w:pPr>
        <w:pStyle w:val="Heading2"/>
      </w:pPr>
      <w:r>
        <w:rPr>
          <w:color w:val="1D3A5F"/>
        </w:rPr>
        <w:t>1. Champ d'application</w:t>
      </w:r>
    </w:p>
    <w:p>
      <w:r>
        <w:t>La procédure s'applique à toute intervention ponctuelle ou régulière, rémunérée ou bénévole, se déroulant pendant le temps scolaire, en présence d'élèves, dans les locaux de l'établissement ou lors d'une sortie. Elle ne s'applique pas aux prestataires de service titulaires d'un marché (maintenance, nettoyage).</w:t>
      </w:r>
    </w:p>
    <w:p>
      <w:pPr>
        <w:pStyle w:val="Heading2"/>
      </w:pPr>
      <w:r>
        <w:rPr>
          <w:color w:val="1D3A5F"/>
        </w:rPr>
        <w:t>2. Étapes</w:t>
      </w:r>
    </w:p>
    <w:p>
      <w:pPr>
        <w:pStyle w:val="ListNumber"/>
      </w:pPr>
      <w:r>
        <w:t>L'enseignant porteur du projet transmet au secrétariat de direction la fiche de demande d'intervention au moins quinze jours ouvrés avant la date prévue.</w:t>
      </w:r>
    </w:p>
    <w:p>
      <w:pPr>
        <w:pStyle w:val="ListNumber"/>
      </w:pPr>
      <w:r>
        <w:t>Le secrétariat vérifie la complétude du dossier : identité de l'intervenant, objet, dates, public, attestation d'assurance responsabilité civile couvrant l'activité, attestation d'honorabilité (extrait de casier judiciaire de moins de trois mois pour les interventions régulières auprès de mineurs).</w:t>
      </w:r>
    </w:p>
    <w:p>
      <w:pPr>
        <w:pStyle w:val="ListNumber"/>
      </w:pPr>
      <w:r>
        <w:t>Le secrétariat prépare la convention à partir du modèle validé et la soumet au signataire compétent (proviseure, proviseur adjoint ou directrice du primaire selon la délégation n° 2026-014).</w:t>
      </w:r>
    </w:p>
    <w:p>
      <w:pPr>
        <w:pStyle w:val="ListNumber"/>
      </w:pPr>
      <w:r>
        <w:t>La convention est signée par les deux parties avant le début de l'intervention. Par exception, en cas d'urgence pédagogique justifiée, l'intervention peut commencer sur simple accord écrit (courriel) du proviseur adjoint, la convention étant régularisée dans les quinze jours.</w:t>
      </w:r>
    </w:p>
    <w:p>
      <w:pPr>
        <w:pStyle w:val="ListNumber"/>
      </w:pPr>
      <w:r>
        <w:t>Le secrétariat enregistre la convention dans le registre des intervenants et informe l'accueil (badge nominatif, date, salle).</w:t>
      </w:r>
    </w:p>
    <w:p>
      <w:pPr>
        <w:pStyle w:val="ListNumber"/>
      </w:pPr>
      <w:r>
        <w:t>Après l'intervention, l'enseignant transmet un bref bilan ; le secrétariat archive le dossier.</w:t>
      </w:r>
    </w:p>
    <w:p>
      <w:pPr>
        <w:pStyle w:val="Heading2"/>
      </w:pPr>
      <w:r>
        <w:rPr>
          <w:color w:val="1D3A5F"/>
        </w:rPr>
        <w:t>3. Durée des conventions</w:t>
      </w:r>
    </w:p>
    <w:p>
      <w:r>
        <w:t>Une convention est établie pour une action et une année scolaire. Elle n'est jamais reconduite automatiquement : une intervention renouvelée l'année suivante fait l'objet d'une nouvelle demande et d'une nouvelle convention.</w:t>
      </w:r>
    </w:p>
    <w:p>
      <w:pPr>
        <w:pStyle w:val="Heading2"/>
      </w:pPr>
      <w:r>
        <w:rPr>
          <w:color w:val="1D3A5F"/>
        </w:rPr>
        <w:t>4. Pièces et modèles</w:t>
      </w:r>
    </w:p>
    <w:tbl>
      <w:tblPr>
        <w:tblStyle w:val="TableGrid"/>
        <w:tblW w:type="auto" w:w="0"/>
        <w:tblLook w:firstColumn="1" w:firstRow="1" w:lastColumn="0" w:lastRow="0" w:noHBand="0" w:noVBand="1" w:val="04A0"/>
      </w:tblPr>
      <w:tblGrid>
        <w:gridCol w:w="4873"/>
        <w:gridCol w:w="4873"/>
      </w:tblGrid>
      <w:tr>
        <w:tc>
          <w:tcPr>
            <w:tcW w:type="dxa" w:w="3969"/>
          </w:tcPr>
          <w:p>
            <w:r>
              <w:rPr>
                <w:b/>
                <w:sz w:val="18"/>
              </w:rPr>
              <w:t>Pièce</w:t>
            </w:r>
          </w:p>
        </w:tc>
        <w:tc>
          <w:tcPr>
            <w:tcW w:type="dxa" w:w="5102"/>
          </w:tcPr>
          <w:p>
            <w:r>
              <w:rPr>
                <w:b/>
                <w:sz w:val="18"/>
              </w:rPr>
              <w:t>Où la trouver</w:t>
            </w:r>
          </w:p>
        </w:tc>
      </w:tr>
      <w:tr>
        <w:tc>
          <w:tcPr>
            <w:tcW w:type="dxa" w:w="3969"/>
          </w:tcPr>
          <w:p>
            <w:r>
              <w:rPr>
                <w:b w:val="0"/>
                <w:sz w:val="18"/>
              </w:rPr>
              <w:t>Fiche de demande d'intervention</w:t>
            </w:r>
          </w:p>
        </w:tc>
        <w:tc>
          <w:tcPr>
            <w:tcW w:type="dxa" w:w="5102"/>
          </w:tcPr>
          <w:p>
            <w:r>
              <w:rPr>
                <w:b w:val="0"/>
                <w:sz w:val="18"/>
              </w:rPr>
              <w:t>Drive Secrétariat / Modèles / FD-INT</w:t>
            </w:r>
          </w:p>
        </w:tc>
      </w:tr>
      <w:tr>
        <w:tc>
          <w:tcPr>
            <w:tcW w:type="dxa" w:w="3969"/>
          </w:tcPr>
          <w:p>
            <w:r>
              <w:rPr>
                <w:b w:val="0"/>
                <w:sz w:val="18"/>
              </w:rPr>
              <w:t>Modèle de convention</w:t>
            </w:r>
          </w:p>
        </w:tc>
        <w:tc>
          <w:tcPr>
            <w:tcW w:type="dxa" w:w="5102"/>
          </w:tcPr>
          <w:p>
            <w:r>
              <w:rPr>
                <w:b w:val="0"/>
                <w:sz w:val="18"/>
              </w:rPr>
              <w:t>Drive Secrétariat / Modèles / CONV-INT</w:t>
            </w:r>
          </w:p>
        </w:tc>
      </w:tr>
      <w:tr>
        <w:tc>
          <w:tcPr>
            <w:tcW w:type="dxa" w:w="3969"/>
          </w:tcPr>
          <w:p>
            <w:r>
              <w:rPr>
                <w:b w:val="0"/>
                <w:sz w:val="18"/>
              </w:rPr>
              <w:t>Registre des intervenants</w:t>
            </w:r>
          </w:p>
        </w:tc>
        <w:tc>
          <w:tcPr>
            <w:tcW w:type="dxa" w:w="5102"/>
          </w:tcPr>
          <w:p>
            <w:r>
              <w:rPr>
                <w:b w:val="0"/>
                <w:sz w:val="18"/>
              </w:rPr>
              <w:t>Drive Secrétariat / Registres</w:t>
            </w:r>
          </w:p>
        </w:tc>
      </w:tr>
    </w:tbl>
    <w:p>
      <w:pPr>
        <w:pStyle w:val="Heading2"/>
      </w:pPr>
      <w:r>
        <w:rPr>
          <w:color w:val="1D3A5F"/>
        </w:rPr>
        <w:t>5. Motif de la révision (note de la rédactrice)</w:t>
      </w:r>
    </w:p>
    <w:p>
      <w:r>
        <w:t>Plusieurs enseignants ont signalé des interventions annulées faute de convention signée à temps. La présente version propose une procédure accélérée. À soumettre à la proviseure puis, le cas échéant, au conseil d'établissement.</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670"/>
        <w:sz w:val="16"/>
      </w:rPr>
      <w:t>PROC-ACC-01 – Version 3 – projet du 02/10/2026 – en attente de validation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670"/>
        <w:sz w:val="17"/>
      </w:rPr>
      <w:t>LFI Marie-Curie – Secrétariat de direction – PROC-ACC-01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