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Veille hebdomadaire des demandes d'intervention – règles</w:t>
      </w:r>
    </w:p>
    <w:p>
      <w:r>
        <w:t>De : Patrice Aubertin – À : secrétariat de direction – Copie : Dragan Petrović</w:t>
      </w:r>
    </w:p>
    <w:p>
      <w:r>
        <w:t>Chaque vendredi soir, MaintiGest produit un export complet des demandes d'intervention ouvertes et récemment closes. Je souhaite recevoir le lundi à 8 h une synthèse de ce qui a changé depuis l'export précédent, et uniquement de ce qui mérite mon attention.</w:t>
      </w:r>
    </w:p>
    <w:p>
      <w:pPr>
        <w:pStyle w:val="Heading2"/>
      </w:pPr>
      <w:r>
        <w:rPr>
          <w:color w:val="1D3A5F"/>
        </w:rPr>
        <w:t>Ce qui doit déclencher une alerte</w:t>
      </w:r>
    </w:p>
    <w:p>
      <w:pPr>
        <w:pStyle w:val="ListBullet"/>
      </w:pPr>
      <w:r>
        <w:t>toute nouvelle demande de priorité P1 ou P2 ;</w:t>
      </w:r>
    </w:p>
    <w:p>
      <w:pPr>
        <w:pStyle w:val="ListBullet"/>
      </w:pPr>
      <w:r>
        <w:t>toute demande passée au statut « Rouvert » ;</w:t>
      </w:r>
    </w:p>
    <w:p>
      <w:pPr>
        <w:pStyle w:val="ListBullet"/>
      </w:pPr>
      <w:r>
        <w:t>toute demande dont la priorité a été relevée ;</w:t>
      </w:r>
    </w:p>
    <w:p>
      <w:pPr>
        <w:pStyle w:val="ListBullet"/>
      </w:pPr>
      <w:r>
        <w:t>toute demande non résolue dont l'échéance est devenue antérieure à la date de l'export depuis l'export précédent (les retards déjà signalés ne sont pas répétés, ils sont seulement comptés) ;</w:t>
      </w:r>
    </w:p>
    <w:p>
      <w:pPr>
        <w:pStyle w:val="ListBullet"/>
      </w:pPr>
      <w:r>
        <w:t>toute demande nouvelle ou modifiée relevant de la catégorie Sécurité, quelle que soit sa priorité ;</w:t>
      </w:r>
    </w:p>
    <w:p>
      <w:pPr>
        <w:pStyle w:val="ListBullet"/>
      </w:pPr>
      <w:r>
        <w:t>tout doublon probable (même local, même nature, à quelques heures d'intervalle).</w:t>
      </w:r>
    </w:p>
    <w:p>
      <w:pPr>
        <w:pStyle w:val="Heading2"/>
      </w:pPr>
      <w:r>
        <w:rPr>
          <w:color w:val="1D3A5F"/>
        </w:rPr>
        <w:t>Ce qui ne doit pas déclencher d'alerte</w:t>
      </w:r>
    </w:p>
    <w:p>
      <w:pPr>
        <w:pStyle w:val="ListBullet"/>
      </w:pPr>
      <w:r>
        <w:t>une simple mise à jour de la date ou une correction de texte sans changement de statut, de priorité ou d'échéance ;</w:t>
      </w:r>
    </w:p>
    <w:p>
      <w:pPr>
        <w:pStyle w:val="ListBullet"/>
      </w:pPr>
      <w:r>
        <w:t>les commentaires portés sur une demande close ;</w:t>
      </w:r>
    </w:p>
    <w:p>
      <w:pPr>
        <w:pStyle w:val="ListBullet"/>
      </w:pPr>
      <w:r>
        <w:t>les priorités abaissées (à mentionner dans la rubrique « pour information ») ;</w:t>
      </w:r>
    </w:p>
    <w:p>
      <w:pPr>
        <w:pStyle w:val="ListBullet"/>
      </w:pPr>
      <w:r>
        <w:t>la disparition d'une demande close depuis plus de 30 jours : MaintiGest archive automatiquement ces demandes ;</w:t>
      </w:r>
    </w:p>
    <w:p>
      <w:pPr>
        <w:pStyle w:val="ListBullet"/>
      </w:pPr>
      <w:r>
        <w:t>l'absence de changement : dans ce cas, la synthèse indique simplement « aucun changement significatif ».</w:t>
      </w:r>
    </w:p>
    <w:p>
      <w:pPr>
        <w:pStyle w:val="Heading2"/>
      </w:pPr>
      <w:r>
        <w:rPr>
          <w:color w:val="1D3A5F"/>
        </w:rPr>
        <w:t>Format attendu</w:t>
      </w:r>
    </w:p>
    <w:p>
      <w:r>
        <w:t>1. Alertes (5 au maximum, classées par gravité, avec numéro de ticket et motif) ; 2. Pour information (compteurs : nouvelles demandes, clôtures, retards en cours, priorités abaissées) ; 3. Points nécessitant une décision. Une page au maximum.</w:t>
      </w:r>
    </w:p>
    <w:p>
      <w:pPr>
        <w:pStyle w:val="Heading2"/>
      </w:pPr>
      <w:r>
        <w:rPr>
          <w:color w:val="1D3A5F"/>
        </w:rPr>
        <w:t>Interdits</w:t>
      </w:r>
    </w:p>
    <w:p>
      <w:r>
        <w:t>La synthèse ne contacte aucun prestataire et ne modifie aucune demande dans MaintiGest. Elle m'est adressée en brouillon, je décide des relances.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Note interne – 12/10/2026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Direction administrative et financière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