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D3A5F"/>
        </w:rPr>
        <w:t>Veille MaintiGest – synthèse du lundi 12 octobre 2026</w:t>
      </w:r>
    </w:p>
    <w:p>
      <w:pPr>
        <w:pStyle w:val="Heading2"/>
      </w:pPr>
      <w:r>
        <w:rPr>
          <w:color w:val="1D3A5F"/>
        </w:rPr>
        <w:t>1. Alertes</w:t>
      </w:r>
    </w:p>
    <w:p>
      <w:pPr>
        <w:pStyle w:val="ListBullet"/>
      </w:pPr>
      <w:r>
        <w:t>MG-26-1608 et MG-26-1631 : échéances dépassées (retards signalés pour la première fois).</w:t>
      </w:r>
    </w:p>
    <w:p>
      <w:pPr>
        <w:pStyle w:val="ListBullet"/>
      </w:pPr>
      <w:r>
        <w:t>Aucune nouvelle demande P1.</w:t>
      </w:r>
    </w:p>
    <w:p>
      <w:pPr>
        <w:pStyle w:val="Heading2"/>
      </w:pPr>
      <w:r>
        <w:rPr>
          <w:color w:val="1D3A5F"/>
        </w:rPr>
        <w:t>2. Pour information</w:t>
      </w:r>
    </w:p>
    <w:p>
      <w:r>
        <w:t>14 nouvelles demandes, 11 clôtures, 2 retards en cours.</w:t>
      </w:r>
    </w:p>
    <w:p>
      <w:pPr>
        <w:pStyle w:val="Heading2"/>
      </w:pPr>
      <w:r>
        <w:rPr>
          <w:color w:val="1D3A5F"/>
        </w:rPr>
        <w:t>3. Décisions</w:t>
      </w:r>
    </w:p>
    <w:p>
      <w:r>
        <w:t>Aucune.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B6670"/>
        <w:sz w:val="16"/>
      </w:rPr>
      <w:t>Synthèse hebdomadaire – semaine 41 – rédigée manuellement par H. Marquet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670"/>
        <w:sz w:val="17"/>
      </w:rPr>
      <w:t>LFI Marie-Curie – Secrétariat de direction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