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D3A5F"/>
        </w:rPr>
        <w:t>Cahier des charges – Prototype d'outil administratif</w:t>
      </w:r>
    </w:p>
    <w:p>
      <w:r>
        <w:t>Commanditaires : Catherine Delorme, proviseure ; Patrice Aubertin, DAF.</w:t>
        <w:br/>
        <w:t>Réalisation : équipes en formation « IA administrative 2.0 ».</w:t>
        <w:br/>
        <w:t>Date de recette : fin de l'atelier.</w:t>
      </w:r>
    </w:p>
    <w:p>
      <w:pPr>
        <w:pStyle w:val="Heading2"/>
      </w:pPr>
      <w:r>
        <w:rPr>
          <w:color w:val="1D3A5F"/>
        </w:rPr>
        <w:t>1. Contexte et besoin</w:t>
      </w:r>
    </w:p>
    <w:p>
      <w:r>
        <w:t>Deux besoins récurrents ne sont couverts par aucun logiciel de l'établissement. Chaque équipe choisit UN prototype et le réalise avec l'outil de création d'application de son assistant IA (artefact, canvas ou équivalent). Le prototype doit être utilisable par un personnel non informaticien, sans installation.</w:t>
      </w:r>
    </w:p>
    <w:p>
      <w:pPr>
        <w:pStyle w:val="Heading2"/>
      </w:pPr>
      <w:r>
        <w:rPr>
          <w:color w:val="1D3A5F"/>
        </w:rPr>
        <w:t>2. Option A – Guichet des demandes internes</w:t>
      </w:r>
    </w:p>
    <w:p>
      <w:r>
        <w:t>Aujourd'hui, les demandes adressées au secrétariat de direction (attestations, salles, rendez-vous, documents) arrivent par courriel, par téléphone et au comptoir. Rien n'est tracé ; des demandes sont oubliées. La direction souhaite un guichet unique.</w:t>
      </w:r>
    </w:p>
    <w:p>
      <w:pPr>
        <w:pStyle w:val="ListBullet"/>
      </w:pPr>
      <w:r>
        <w:t>Saisie d'une demande : demandeur, service, catégorie (liste fermée), objet, date souhaitée, priorité (normale / urgente) ; horodatage automatique.</w:t>
      </w:r>
    </w:p>
    <w:p>
      <w:pPr>
        <w:pStyle w:val="ListBullet"/>
      </w:pPr>
      <w:r>
        <w:t>Liste des demandes avec filtres (statut, service, catégorie, priorité) et tri par date souhaitée.</w:t>
      </w:r>
    </w:p>
    <w:p>
      <w:pPr>
        <w:pStyle w:val="ListBullet"/>
      </w:pPr>
      <w:r>
        <w:t>Cycle de vie : Nouvelle → Prise en charge → En attente → Traitée ; toute modification de statut est historisée (qui, quand).</w:t>
      </w:r>
    </w:p>
    <w:p>
      <w:pPr>
        <w:pStyle w:val="ListBullet"/>
      </w:pPr>
      <w:r>
        <w:t>Indicateurs : nombre de demandes par statut, délai moyen de traitement, demandes en retard (date souhaitée dépassée et non traitée).</w:t>
      </w:r>
    </w:p>
    <w:p>
      <w:pPr>
        <w:pStyle w:val="ListBullet"/>
      </w:pPr>
      <w:r>
        <w:t>Import du jeu d'essai (fichier jeu-essai-guichet.xlsx, onglet Demandes) et export CSV.</w:t>
      </w:r>
    </w:p>
    <w:p>
      <w:pPr>
        <w:pStyle w:val="ListBullet"/>
      </w:pPr>
      <w:r>
        <w:t>Contrôles : champs obligatoires, date souhaitée non antérieure à la date de saisie, détection des doublons probables (même demandeur, même objet, moins de 48 h).</w:t>
      </w:r>
    </w:p>
    <w:p>
      <w:pPr>
        <w:pStyle w:val="Heading2"/>
      </w:pPr>
      <w:r>
        <w:rPr>
          <w:color w:val="1D3A5F"/>
        </w:rPr>
        <w:t>3. Option B – Simulateur budgétaire bidevise</w:t>
      </w:r>
    </w:p>
    <w:p>
      <w:r>
        <w:t>Le budget s'exécute en euros et en couronnes valdaves (KVL). Le DAF veut un outil pour suivre, par service, le prévu, l'engagé et le disponible, et pour simuler l'effet d'une variation du taux de chancellerie sur les dépenses en KVL.</w:t>
      </w:r>
    </w:p>
    <w:p>
      <w:pPr>
        <w:pStyle w:val="ListBullet"/>
      </w:pPr>
      <w:r>
        <w:t>Import du jeu d'essai (jeu-essai-budget.xlsx, onglet Lignes).</w:t>
      </w:r>
    </w:p>
    <w:p>
      <w:pPr>
        <w:pStyle w:val="ListBullet"/>
      </w:pPr>
      <w:r>
        <w:t>Conversion de chaque ligne en euros au taux applicable à sa date (onglet Taux) ; signalement des lignes dont le montant EUR saisi ne correspond pas au montant recalculé (écart &gt; 1 €).</w:t>
      </w:r>
    </w:p>
    <w:p>
      <w:pPr>
        <w:pStyle w:val="ListBullet"/>
      </w:pPr>
      <w:r>
        <w:t>Tableau par service : prévu, engagé (engagé + liquidé + mandaté), disponible = prévu – engagé ; alerte si disponible &lt; 0.</w:t>
      </w:r>
    </w:p>
    <w:p>
      <w:pPr>
        <w:pStyle w:val="ListBullet"/>
      </w:pPr>
      <w:r>
        <w:t>Scénario de taux : saisie d'un taux hypothétique et recalcul des lignes en KVL non encore mandatées.</w:t>
      </w:r>
    </w:p>
    <w:p>
      <w:pPr>
        <w:pStyle w:val="ListBullet"/>
      </w:pPr>
      <w:r>
        <w:t>Comparaison de deux scénarios côte à côte ; export CSV.</w:t>
      </w:r>
    </w:p>
    <w:p>
      <w:pPr>
        <w:pStyle w:val="ListBullet"/>
      </w:pPr>
      <w:r>
        <w:t>Contrôles : montants négatifs, codes service inconnus, doublons probables (même date, même montant, même libellé), statut inconnu.</w:t>
      </w:r>
    </w:p>
    <w:p>
      <w:pPr>
        <w:pStyle w:val="Heading2"/>
      </w:pPr>
      <w:r>
        <w:rPr>
          <w:color w:val="1D3A5F"/>
        </w:rPr>
        <w:t>4. Exigences communes</w:t>
      </w:r>
    </w:p>
    <w:p>
      <w:pPr>
        <w:pStyle w:val="ListBullet"/>
      </w:pPr>
      <w:r>
        <w:t>Interface en français, lisible sur ordinateur et tablette ; navigation au clavier ; contrastes suffisants.</w:t>
      </w:r>
    </w:p>
    <w:p>
      <w:pPr>
        <w:pStyle w:val="ListBullet"/>
      </w:pPr>
      <w:r>
        <w:t>Aucune donnée réelle : uniquement le jeu d'essai fourni. Si le prototype conserve des données, expliquer où et comment les effacer.</w:t>
      </w:r>
    </w:p>
    <w:p>
      <w:pPr>
        <w:pStyle w:val="ListBullet"/>
      </w:pPr>
      <w:r>
        <w:t>Messages d'erreur compréhensibles ; aucune perte silencieuse de données à l'import (les lignes rejetées sont listées avec le motif).</w:t>
      </w:r>
    </w:p>
    <w:p>
      <w:pPr>
        <w:pStyle w:val="ListBullet"/>
      </w:pPr>
      <w:r>
        <w:t>Une page « À propos » : version, date, limites connues, auteurs.</w:t>
      </w:r>
    </w:p>
    <w:p>
      <w:pPr>
        <w:pStyle w:val="Heading2"/>
      </w:pPr>
      <w:r>
        <w:rPr>
          <w:color w:val="1D3A5F"/>
        </w:rPr>
        <w:t>5. Recette</w:t>
      </w:r>
    </w:p>
    <w:p>
      <w:r>
        <w:t>La recette est réalisée par une autre équipe à l'aide du cahier de recette (cahier-de-recette.xlsx). Un prototype est accepté si tous les tests bloquants sont conformes.</w:t>
      </w:r>
    </w:p>
    <w:p>
      <w:pPr>
        <w:pStyle w:val="Heading2"/>
      </w:pPr>
      <w:r>
        <w:rPr>
          <w:color w:val="1D3A5F"/>
        </w:rPr>
        <w:t>6. Utilisateurs et scénarios d'usage</w:t>
      </w:r>
    </w:p>
    <w:tbl>
      <w:tblPr>
        <w:tblStyle w:val="TableGrid"/>
        <w:tblW w:type="auto" w:w="0"/>
        <w:tblLook w:firstColumn="1" w:firstRow="1" w:lastColumn="0" w:lastRow="0" w:noHBand="0" w:noVBand="1" w:val="04A0"/>
      </w:tblPr>
      <w:tblGrid>
        <w:gridCol w:w="2436"/>
        <w:gridCol w:w="2436"/>
        <w:gridCol w:w="2436"/>
        <w:gridCol w:w="2436"/>
      </w:tblGrid>
      <w:tr>
        <w:tc>
          <w:tcPr>
            <w:tcW w:type="dxa" w:w="2268"/>
          </w:tcPr>
          <w:p>
            <w:r>
              <w:rPr>
                <w:b/>
                <w:sz w:val="18"/>
              </w:rPr>
              <w:t>Utilisateur</w:t>
            </w:r>
          </w:p>
        </w:tc>
        <w:tc>
          <w:tcPr>
            <w:tcW w:type="dxa" w:w="3969"/>
          </w:tcPr>
          <w:p>
            <w:r>
              <w:rPr>
                <w:b/>
                <w:sz w:val="18"/>
              </w:rPr>
              <w:t>Besoin principal</w:t>
            </w:r>
          </w:p>
        </w:tc>
        <w:tc>
          <w:tcPr>
            <w:tcW w:type="dxa" w:w="1417"/>
          </w:tcPr>
          <w:p>
            <w:r>
              <w:rPr>
                <w:b/>
                <w:sz w:val="18"/>
              </w:rPr>
              <w:t>Fréquence</w:t>
            </w:r>
          </w:p>
        </w:tc>
        <w:tc>
          <w:tcPr>
            <w:tcW w:type="dxa" w:w="850"/>
          </w:tcPr>
          <w:p>
            <w:r>
              <w:rPr>
                <w:b/>
                <w:sz w:val="18"/>
              </w:rPr>
              <w:t>Option</w:t>
            </w:r>
          </w:p>
        </w:tc>
      </w:tr>
      <w:tr>
        <w:tc>
          <w:tcPr>
            <w:tcW w:type="dxa" w:w="2268"/>
          </w:tcPr>
          <w:p>
            <w:r>
              <w:rPr>
                <w:b w:val="0"/>
                <w:sz w:val="18"/>
              </w:rPr>
              <w:t>Proviseure</w:t>
            </w:r>
          </w:p>
        </w:tc>
        <w:tc>
          <w:tcPr>
            <w:tcW w:type="dxa" w:w="3969"/>
          </w:tcPr>
          <w:p>
            <w:r>
              <w:rPr>
                <w:b w:val="0"/>
                <w:sz w:val="18"/>
              </w:rPr>
              <w:t>Voir chaque lundi les demandes en retard</w:t>
            </w:r>
          </w:p>
        </w:tc>
        <w:tc>
          <w:tcPr>
            <w:tcW w:type="dxa" w:w="1417"/>
          </w:tcPr>
          <w:p>
            <w:r>
              <w:rPr>
                <w:b w:val="0"/>
                <w:sz w:val="18"/>
              </w:rPr>
              <w:t>Hebdomadaire</w:t>
            </w:r>
          </w:p>
        </w:tc>
        <w:tc>
          <w:tcPr>
            <w:tcW w:type="dxa" w:w="850"/>
          </w:tcPr>
          <w:p>
            <w:r>
              <w:rPr>
                <w:b w:val="0"/>
                <w:sz w:val="18"/>
              </w:rPr>
              <w:t>A</w:t>
            </w:r>
          </w:p>
        </w:tc>
      </w:tr>
      <w:tr>
        <w:tc>
          <w:tcPr>
            <w:tcW w:type="dxa" w:w="2268"/>
          </w:tcPr>
          <w:p>
            <w:r>
              <w:rPr>
                <w:b w:val="0"/>
                <w:sz w:val="18"/>
              </w:rPr>
              <w:t>Secrétariat de direction</w:t>
            </w:r>
          </w:p>
        </w:tc>
        <w:tc>
          <w:tcPr>
            <w:tcW w:type="dxa" w:w="3969"/>
          </w:tcPr>
          <w:p>
            <w:r>
              <w:rPr>
                <w:b w:val="0"/>
                <w:sz w:val="18"/>
              </w:rPr>
              <w:t>Saisir, suivre et clôturer les demandes</w:t>
            </w:r>
          </w:p>
        </w:tc>
        <w:tc>
          <w:tcPr>
            <w:tcW w:type="dxa" w:w="1417"/>
          </w:tcPr>
          <w:p>
            <w:r>
              <w:rPr>
                <w:b w:val="0"/>
                <w:sz w:val="18"/>
              </w:rPr>
              <w:t>Quotidienne</w:t>
            </w:r>
          </w:p>
        </w:tc>
        <w:tc>
          <w:tcPr>
            <w:tcW w:type="dxa" w:w="850"/>
          </w:tcPr>
          <w:p>
            <w:r>
              <w:rPr>
                <w:b w:val="0"/>
                <w:sz w:val="18"/>
              </w:rPr>
              <w:t>A</w:t>
            </w:r>
          </w:p>
        </w:tc>
      </w:tr>
      <w:tr>
        <w:tc>
          <w:tcPr>
            <w:tcW w:type="dxa" w:w="2268"/>
          </w:tcPr>
          <w:p>
            <w:r>
              <w:rPr>
                <w:b w:val="0"/>
                <w:sz w:val="18"/>
              </w:rPr>
              <w:t>Enseignants et services</w:t>
            </w:r>
          </w:p>
        </w:tc>
        <w:tc>
          <w:tcPr>
            <w:tcW w:type="dxa" w:w="3969"/>
          </w:tcPr>
          <w:p>
            <w:r>
              <w:rPr>
                <w:b w:val="0"/>
                <w:sz w:val="18"/>
              </w:rPr>
              <w:t>Connaître l'état de leur demande</w:t>
            </w:r>
          </w:p>
        </w:tc>
        <w:tc>
          <w:tcPr>
            <w:tcW w:type="dxa" w:w="1417"/>
          </w:tcPr>
          <w:p>
            <w:r>
              <w:rPr>
                <w:b w:val="0"/>
                <w:sz w:val="18"/>
              </w:rPr>
              <w:t>Ponctuelle</w:t>
            </w:r>
          </w:p>
        </w:tc>
        <w:tc>
          <w:tcPr>
            <w:tcW w:type="dxa" w:w="850"/>
          </w:tcPr>
          <w:p>
            <w:r>
              <w:rPr>
                <w:b w:val="0"/>
                <w:sz w:val="18"/>
              </w:rPr>
              <w:t>A</w:t>
            </w:r>
          </w:p>
        </w:tc>
      </w:tr>
      <w:tr>
        <w:tc>
          <w:tcPr>
            <w:tcW w:type="dxa" w:w="2268"/>
          </w:tcPr>
          <w:p>
            <w:r>
              <w:rPr>
                <w:b w:val="0"/>
                <w:sz w:val="18"/>
              </w:rPr>
              <w:t>DAF</w:t>
            </w:r>
          </w:p>
        </w:tc>
        <w:tc>
          <w:tcPr>
            <w:tcW w:type="dxa" w:w="3969"/>
          </w:tcPr>
          <w:p>
            <w:r>
              <w:rPr>
                <w:b w:val="0"/>
                <w:sz w:val="18"/>
              </w:rPr>
              <w:t>Suivre prévu / engagé / disponible par service</w:t>
            </w:r>
          </w:p>
        </w:tc>
        <w:tc>
          <w:tcPr>
            <w:tcW w:type="dxa" w:w="1417"/>
          </w:tcPr>
          <w:p>
            <w:r>
              <w:rPr>
                <w:b w:val="0"/>
                <w:sz w:val="18"/>
              </w:rPr>
              <w:t>Hebdomadaire</w:t>
            </w:r>
          </w:p>
        </w:tc>
        <w:tc>
          <w:tcPr>
            <w:tcW w:type="dxa" w:w="850"/>
          </w:tcPr>
          <w:p>
            <w:r>
              <w:rPr>
                <w:b w:val="0"/>
                <w:sz w:val="18"/>
              </w:rPr>
              <w:t>B</w:t>
            </w:r>
          </w:p>
        </w:tc>
      </w:tr>
      <w:tr>
        <w:tc>
          <w:tcPr>
            <w:tcW w:type="dxa" w:w="2268"/>
          </w:tcPr>
          <w:p>
            <w:r>
              <w:rPr>
                <w:b w:val="0"/>
                <w:sz w:val="18"/>
              </w:rPr>
              <w:t>DAF</w:t>
            </w:r>
          </w:p>
        </w:tc>
        <w:tc>
          <w:tcPr>
            <w:tcW w:type="dxa" w:w="3969"/>
          </w:tcPr>
          <w:p>
            <w:r>
              <w:rPr>
                <w:b w:val="0"/>
                <w:sz w:val="18"/>
              </w:rPr>
              <w:t>Simuler un changement de taux de chancellerie</w:t>
            </w:r>
          </w:p>
        </w:tc>
        <w:tc>
          <w:tcPr>
            <w:tcW w:type="dxa" w:w="1417"/>
          </w:tcPr>
          <w:p>
            <w:r>
              <w:rPr>
                <w:b w:val="0"/>
                <w:sz w:val="18"/>
              </w:rPr>
              <w:t>Trimestrielle</w:t>
            </w:r>
          </w:p>
        </w:tc>
        <w:tc>
          <w:tcPr>
            <w:tcW w:type="dxa" w:w="850"/>
          </w:tcPr>
          <w:p>
            <w:r>
              <w:rPr>
                <w:b w:val="0"/>
                <w:sz w:val="18"/>
              </w:rPr>
              <w:t>B</w:t>
            </w:r>
          </w:p>
        </w:tc>
      </w:tr>
      <w:tr>
        <w:tc>
          <w:tcPr>
            <w:tcW w:type="dxa" w:w="2268"/>
          </w:tcPr>
          <w:p>
            <w:r>
              <w:rPr>
                <w:b w:val="0"/>
                <w:sz w:val="18"/>
              </w:rPr>
              <w:t>Agente comptable</w:t>
            </w:r>
          </w:p>
        </w:tc>
        <w:tc>
          <w:tcPr>
            <w:tcW w:type="dxa" w:w="3969"/>
          </w:tcPr>
          <w:p>
            <w:r>
              <w:rPr>
                <w:b w:val="0"/>
                <w:sz w:val="18"/>
              </w:rPr>
              <w:t>Vérifier que le mandaté n'est jamais recalculé</w:t>
            </w:r>
          </w:p>
        </w:tc>
        <w:tc>
          <w:tcPr>
            <w:tcW w:type="dxa" w:w="1417"/>
          </w:tcPr>
          <w:p>
            <w:r>
              <w:rPr>
                <w:b w:val="0"/>
                <w:sz w:val="18"/>
              </w:rPr>
              <w:t>Mensuelle</w:t>
            </w:r>
          </w:p>
        </w:tc>
        <w:tc>
          <w:tcPr>
            <w:tcW w:type="dxa" w:w="850"/>
          </w:tcPr>
          <w:p>
            <w:r>
              <w:rPr>
                <w:b w:val="0"/>
                <w:sz w:val="18"/>
              </w:rPr>
              <w:t>B</w:t>
            </w:r>
          </w:p>
        </w:tc>
      </w:tr>
    </w:tbl>
    <w:p>
      <w:pPr>
        <w:pStyle w:val="Heading2"/>
      </w:pPr>
      <w:r>
        <w:rPr>
          <w:color w:val="1D3A5F"/>
        </w:rPr>
        <w:t>7. Dictionnaire des données</w:t>
      </w:r>
    </w:p>
    <w:p>
      <w:r>
        <w:t>Option A – une demande comporte : numéro (D-NNN, attribué automatiquement), date et heure de saisie, demandeur, service, catégorie (liste de l'onglet Catégories), objet (texte libre, 200 caractères), date souhaitée, priorité, statut, date de traitement, historique des statuts.</w:t>
      </w:r>
    </w:p>
    <w:p>
      <w:r>
        <w:t>Option B – une ligne budgétaire comporte : numéro, date, service (liste de l'onglet Prévu par service), compte, libellé, devise (EUR ou KVL), montant en devise, taux appliqué, montant EUR, statut (Prévu, Engagé, Liquidé, Mandaté). Le taux applicable est celui de l'onglet Taux en vigueur à la date de la ligne.</w:t>
      </w:r>
    </w:p>
    <w:p>
      <w:pPr>
        <w:pStyle w:val="Heading2"/>
      </w:pPr>
      <w:r>
        <w:rPr>
          <w:color w:val="1D3A5F"/>
        </w:rPr>
        <w:t>8. Critères d'acceptation</w:t>
      </w:r>
    </w:p>
    <w:p>
      <w:pPr>
        <w:pStyle w:val="ListBullet"/>
      </w:pPr>
      <w:r>
        <w:t>Tous les tests « bloquants » du cahier de recette sont conformes.</w:t>
      </w:r>
    </w:p>
    <w:p>
      <w:pPr>
        <w:pStyle w:val="ListBullet"/>
      </w:pPr>
      <w:r>
        <w:t>Au moins 80 % des tests « majeurs » sont conformes.</w:t>
      </w:r>
    </w:p>
    <w:p>
      <w:pPr>
        <w:pStyle w:val="ListBullet"/>
      </w:pPr>
      <w:r>
        <w:t>Une personne qui n'a pas participé à la réalisation utilise le prototype sans aide pendant dix minutes.</w:t>
      </w:r>
    </w:p>
    <w:p>
      <w:pPr>
        <w:pStyle w:val="ListBullet"/>
      </w:pPr>
      <w:r>
        <w:t>La page « À propos » indique les limites connues.</w:t>
      </w:r>
    </w:p>
    <w:p>
      <w:pPr>
        <w:pStyle w:val="Heading2"/>
      </w:pPr>
      <w:r>
        <w:rPr>
          <w:color w:val="1D3A5F"/>
        </w:rPr>
        <w:t>9. Calendrier de l'atelier</w:t>
      </w:r>
    </w:p>
    <w:tbl>
      <w:tblPr>
        <w:tblStyle w:val="TableGrid"/>
        <w:tblW w:type="auto" w:w="0"/>
        <w:tblLook w:firstColumn="1" w:firstRow="1" w:lastColumn="0" w:lastRow="0" w:noHBand="0" w:noVBand="1" w:val="04A0"/>
      </w:tblPr>
      <w:tblGrid>
        <w:gridCol w:w="3249"/>
        <w:gridCol w:w="3249"/>
        <w:gridCol w:w="3249"/>
      </w:tblGrid>
      <w:tr>
        <w:tc>
          <w:tcPr>
            <w:tcW w:type="dxa" w:w="3402"/>
          </w:tcPr>
          <w:p>
            <w:r>
              <w:rPr>
                <w:b/>
                <w:sz w:val="18"/>
              </w:rPr>
              <w:t>Étape</w:t>
            </w:r>
          </w:p>
        </w:tc>
        <w:tc>
          <w:tcPr>
            <w:tcW w:type="dxa" w:w="1417"/>
          </w:tcPr>
          <w:p>
            <w:r>
              <w:rPr>
                <w:b/>
                <w:sz w:val="18"/>
              </w:rPr>
              <w:t>Durée</w:t>
            </w:r>
          </w:p>
        </w:tc>
        <w:tc>
          <w:tcPr>
            <w:tcW w:type="dxa" w:w="3969"/>
          </w:tcPr>
          <w:p>
            <w:r>
              <w:rPr>
                <w:b/>
                <w:sz w:val="18"/>
              </w:rPr>
              <w:t>Production</w:t>
            </w:r>
          </w:p>
        </w:tc>
      </w:tr>
      <w:tr>
        <w:tc>
          <w:tcPr>
            <w:tcW w:type="dxa" w:w="3402"/>
          </w:tcPr>
          <w:p>
            <w:r>
              <w:rPr>
                <w:b w:val="0"/>
                <w:sz w:val="18"/>
              </w:rPr>
              <w:t>Lecture et choix de l'option</w:t>
            </w:r>
          </w:p>
        </w:tc>
        <w:tc>
          <w:tcPr>
            <w:tcW w:type="dxa" w:w="1417"/>
          </w:tcPr>
          <w:p>
            <w:r>
              <w:rPr>
                <w:b w:val="0"/>
                <w:sz w:val="18"/>
              </w:rPr>
              <w:t>10 min</w:t>
            </w:r>
          </w:p>
        </w:tc>
        <w:tc>
          <w:tcPr>
            <w:tcW w:type="dxa" w:w="3969"/>
          </w:tcPr>
          <w:p>
            <w:r>
              <w:rPr>
                <w:b w:val="0"/>
                <w:sz w:val="18"/>
              </w:rPr>
              <w:t>Liste numérotée des exigences</w:t>
            </w:r>
          </w:p>
        </w:tc>
      </w:tr>
      <w:tr>
        <w:tc>
          <w:tcPr>
            <w:tcW w:type="dxa" w:w="3402"/>
          </w:tcPr>
          <w:p>
            <w:r>
              <w:rPr>
                <w:b w:val="0"/>
                <w:sz w:val="18"/>
              </w:rPr>
              <w:t>Conception</w:t>
            </w:r>
          </w:p>
        </w:tc>
        <w:tc>
          <w:tcPr>
            <w:tcW w:type="dxa" w:w="1417"/>
          </w:tcPr>
          <w:p>
            <w:r>
              <w:rPr>
                <w:b w:val="0"/>
                <w:sz w:val="18"/>
              </w:rPr>
              <w:t>10 min</w:t>
            </w:r>
          </w:p>
        </w:tc>
        <w:tc>
          <w:tcPr>
            <w:tcW w:type="dxa" w:w="3969"/>
          </w:tcPr>
          <w:p>
            <w:r>
              <w:rPr>
                <w:b w:val="0"/>
                <w:sz w:val="18"/>
              </w:rPr>
              <w:t>Écrans, données, contrôles</w:t>
            </w:r>
          </w:p>
        </w:tc>
      </w:tr>
      <w:tr>
        <w:tc>
          <w:tcPr>
            <w:tcW w:type="dxa" w:w="3402"/>
          </w:tcPr>
          <w:p>
            <w:r>
              <w:rPr>
                <w:b w:val="0"/>
                <w:sz w:val="18"/>
              </w:rPr>
              <w:t>Réalisation itérative</w:t>
            </w:r>
          </w:p>
        </w:tc>
        <w:tc>
          <w:tcPr>
            <w:tcW w:type="dxa" w:w="1417"/>
          </w:tcPr>
          <w:p>
            <w:r>
              <w:rPr>
                <w:b w:val="0"/>
                <w:sz w:val="18"/>
              </w:rPr>
              <w:t>45 min</w:t>
            </w:r>
          </w:p>
        </w:tc>
        <w:tc>
          <w:tcPr>
            <w:tcW w:type="dxa" w:w="3969"/>
          </w:tcPr>
          <w:p>
            <w:r>
              <w:rPr>
                <w:b w:val="0"/>
                <w:sz w:val="18"/>
              </w:rPr>
              <w:t>Prototype</w:t>
            </w:r>
          </w:p>
        </w:tc>
      </w:tr>
      <w:tr>
        <w:tc>
          <w:tcPr>
            <w:tcW w:type="dxa" w:w="3402"/>
          </w:tcPr>
          <w:p>
            <w:r>
              <w:rPr>
                <w:b w:val="0"/>
                <w:sz w:val="18"/>
              </w:rPr>
              <w:t>Adaptation (événement imprévu)</w:t>
            </w:r>
          </w:p>
        </w:tc>
        <w:tc>
          <w:tcPr>
            <w:tcW w:type="dxa" w:w="1417"/>
          </w:tcPr>
          <w:p>
            <w:r>
              <w:rPr>
                <w:b w:val="0"/>
                <w:sz w:val="18"/>
              </w:rPr>
              <w:t>10 min</w:t>
            </w:r>
          </w:p>
        </w:tc>
        <w:tc>
          <w:tcPr>
            <w:tcW w:type="dxa" w:w="3969"/>
          </w:tcPr>
          <w:p>
            <w:r>
              <w:rPr>
                <w:b w:val="0"/>
                <w:sz w:val="18"/>
              </w:rPr>
              <w:t>Prototype modifié, non-régression</w:t>
            </w:r>
          </w:p>
        </w:tc>
      </w:tr>
      <w:tr>
        <w:tc>
          <w:tcPr>
            <w:tcW w:type="dxa" w:w="3402"/>
          </w:tcPr>
          <w:p>
            <w:r>
              <w:rPr>
                <w:b w:val="0"/>
                <w:sz w:val="18"/>
              </w:rPr>
              <w:t>Recette croisée</w:t>
            </w:r>
          </w:p>
        </w:tc>
        <w:tc>
          <w:tcPr>
            <w:tcW w:type="dxa" w:w="1417"/>
          </w:tcPr>
          <w:p>
            <w:r>
              <w:rPr>
                <w:b w:val="0"/>
                <w:sz w:val="18"/>
              </w:rPr>
              <w:t>20 min</w:t>
            </w:r>
          </w:p>
        </w:tc>
        <w:tc>
          <w:tcPr>
            <w:tcW w:type="dxa" w:w="3969"/>
          </w:tcPr>
          <w:p>
            <w:r>
              <w:rPr>
                <w:b w:val="0"/>
                <w:sz w:val="18"/>
              </w:rPr>
              <w:t>Cahier de recette rempli</w:t>
            </w:r>
          </w:p>
        </w:tc>
      </w:tr>
      <w:tr>
        <w:tc>
          <w:tcPr>
            <w:tcW w:type="dxa" w:w="3402"/>
          </w:tcPr>
          <w:p>
            <w:r>
              <w:rPr>
                <w:b w:val="0"/>
                <w:sz w:val="18"/>
              </w:rPr>
              <w:t>Restitution</w:t>
            </w:r>
          </w:p>
        </w:tc>
        <w:tc>
          <w:tcPr>
            <w:tcW w:type="dxa" w:w="1417"/>
          </w:tcPr>
          <w:p>
            <w:r>
              <w:rPr>
                <w:b w:val="0"/>
                <w:sz w:val="18"/>
              </w:rPr>
              <w:t>5 min</w:t>
            </w:r>
          </w:p>
        </w:tc>
        <w:tc>
          <w:tcPr>
            <w:tcW w:type="dxa" w:w="3969"/>
          </w:tcPr>
          <w:p>
            <w:r>
              <w:rPr>
                <w:b w:val="0"/>
                <w:sz w:val="18"/>
              </w:rPr>
              <w:t>Bilan</w:t>
            </w:r>
          </w:p>
        </w:tc>
      </w:tr>
    </w:tbl>
    <w:p>
      <w:pPr>
        <w:pStyle w:val="Heading2"/>
      </w:pPr>
      <w:r>
        <w:rPr>
          <w:color w:val="1D3A5F"/>
        </w:rPr>
        <w:t>10. Hors périmètre</w:t>
      </w:r>
    </w:p>
    <w:p>
      <w:r>
        <w:t>Authentification, envoi de courriels, connexion au logiciel comptable, paiement, données d'élèves.</w:t>
      </w:r>
    </w:p>
    <w:p>
      <w:pPr>
        <w:pStyle w:val="Heading2"/>
      </w:pPr>
      <w:r>
        <w:rPr>
          <w:color w:val="1D3A5F"/>
        </w:rPr>
        <w:t>Annexe 1 – Écrans attendus (indicatif)</w:t>
      </w:r>
    </w:p>
    <w:tbl>
      <w:tblPr>
        <w:tblStyle w:val="TableGrid"/>
        <w:tblW w:type="auto" w:w="0"/>
        <w:tblLook w:firstColumn="1" w:firstRow="1" w:lastColumn="0" w:lastRow="0" w:noHBand="0" w:noVBand="1" w:val="04A0"/>
      </w:tblPr>
      <w:tblGrid>
        <w:gridCol w:w="3249"/>
        <w:gridCol w:w="3249"/>
        <w:gridCol w:w="3249"/>
      </w:tblGrid>
      <w:tr>
        <w:tc>
          <w:tcPr>
            <w:tcW w:type="dxa" w:w="1020"/>
          </w:tcPr>
          <w:p>
            <w:r>
              <w:rPr>
                <w:b/>
                <w:sz w:val="18"/>
              </w:rPr>
              <w:t>Option</w:t>
            </w:r>
          </w:p>
        </w:tc>
        <w:tc>
          <w:tcPr>
            <w:tcW w:type="dxa" w:w="2268"/>
          </w:tcPr>
          <w:p>
            <w:r>
              <w:rPr>
                <w:b/>
                <w:sz w:val="18"/>
              </w:rPr>
              <w:t>Écran</w:t>
            </w:r>
          </w:p>
        </w:tc>
        <w:tc>
          <w:tcPr>
            <w:tcW w:type="dxa" w:w="5669"/>
          </w:tcPr>
          <w:p>
            <w:r>
              <w:rPr>
                <w:b/>
                <w:sz w:val="18"/>
              </w:rPr>
              <w:t>Contenu minimal</w:t>
            </w:r>
          </w:p>
        </w:tc>
      </w:tr>
      <w:tr>
        <w:tc>
          <w:tcPr>
            <w:tcW w:type="dxa" w:w="1020"/>
          </w:tcPr>
          <w:p>
            <w:r>
              <w:rPr>
                <w:b w:val="0"/>
                <w:sz w:val="18"/>
              </w:rPr>
              <w:t>A</w:t>
            </w:r>
          </w:p>
        </w:tc>
        <w:tc>
          <w:tcPr>
            <w:tcW w:type="dxa" w:w="2268"/>
          </w:tcPr>
          <w:p>
            <w:r>
              <w:rPr>
                <w:b w:val="0"/>
                <w:sz w:val="18"/>
              </w:rPr>
              <w:t>Tableau de bord</w:t>
            </w:r>
          </w:p>
        </w:tc>
        <w:tc>
          <w:tcPr>
            <w:tcW w:type="dxa" w:w="5669"/>
          </w:tcPr>
          <w:p>
            <w:r>
              <w:rPr>
                <w:b w:val="0"/>
                <w:sz w:val="18"/>
              </w:rPr>
              <w:t>Compteurs par statut, demandes en retard, délai moyen de traitement</w:t>
            </w:r>
          </w:p>
        </w:tc>
      </w:tr>
      <w:tr>
        <w:tc>
          <w:tcPr>
            <w:tcW w:type="dxa" w:w="1020"/>
          </w:tcPr>
          <w:p>
            <w:r>
              <w:rPr>
                <w:b w:val="0"/>
                <w:sz w:val="18"/>
              </w:rPr>
              <w:t>A</w:t>
            </w:r>
          </w:p>
        </w:tc>
        <w:tc>
          <w:tcPr>
            <w:tcW w:type="dxa" w:w="2268"/>
          </w:tcPr>
          <w:p>
            <w:r>
              <w:rPr>
                <w:b w:val="0"/>
                <w:sz w:val="18"/>
              </w:rPr>
              <w:t>Liste des demandes</w:t>
            </w:r>
          </w:p>
        </w:tc>
        <w:tc>
          <w:tcPr>
            <w:tcW w:type="dxa" w:w="5669"/>
          </w:tcPr>
          <w:p>
            <w:r>
              <w:rPr>
                <w:b w:val="0"/>
                <w:sz w:val="18"/>
              </w:rPr>
              <w:t>Filtres, tri, recherche plein texte, accès à la fiche</w:t>
            </w:r>
          </w:p>
        </w:tc>
      </w:tr>
      <w:tr>
        <w:tc>
          <w:tcPr>
            <w:tcW w:type="dxa" w:w="1020"/>
          </w:tcPr>
          <w:p>
            <w:r>
              <w:rPr>
                <w:b w:val="0"/>
                <w:sz w:val="18"/>
              </w:rPr>
              <w:t>A</w:t>
            </w:r>
          </w:p>
        </w:tc>
        <w:tc>
          <w:tcPr>
            <w:tcW w:type="dxa" w:w="2268"/>
          </w:tcPr>
          <w:p>
            <w:r>
              <w:rPr>
                <w:b w:val="0"/>
                <w:sz w:val="18"/>
              </w:rPr>
              <w:t>Fiche demande</w:t>
            </w:r>
          </w:p>
        </w:tc>
        <w:tc>
          <w:tcPr>
            <w:tcW w:type="dxa" w:w="5669"/>
          </w:tcPr>
          <w:p>
            <w:r>
              <w:rPr>
                <w:b w:val="0"/>
                <w:sz w:val="18"/>
              </w:rPr>
              <w:t>Champs, historique des statuts, bouton de changement de statut</w:t>
            </w:r>
          </w:p>
        </w:tc>
      </w:tr>
      <w:tr>
        <w:tc>
          <w:tcPr>
            <w:tcW w:type="dxa" w:w="1020"/>
          </w:tcPr>
          <w:p>
            <w:r>
              <w:rPr>
                <w:b w:val="0"/>
                <w:sz w:val="18"/>
              </w:rPr>
              <w:t>A</w:t>
            </w:r>
          </w:p>
        </w:tc>
        <w:tc>
          <w:tcPr>
            <w:tcW w:type="dxa" w:w="2268"/>
          </w:tcPr>
          <w:p>
            <w:r>
              <w:rPr>
                <w:b w:val="0"/>
                <w:sz w:val="18"/>
              </w:rPr>
              <w:t>Import / export</w:t>
            </w:r>
          </w:p>
        </w:tc>
        <w:tc>
          <w:tcPr>
            <w:tcW w:type="dxa" w:w="5669"/>
          </w:tcPr>
          <w:p>
            <w:r>
              <w:rPr>
                <w:b w:val="0"/>
                <w:sz w:val="18"/>
              </w:rPr>
              <w:t>Choix du fichier, rapport d'import (lignes acceptées, rejetées et motif), export CSV</w:t>
            </w:r>
          </w:p>
        </w:tc>
      </w:tr>
      <w:tr>
        <w:tc>
          <w:tcPr>
            <w:tcW w:type="dxa" w:w="1020"/>
          </w:tcPr>
          <w:p>
            <w:r>
              <w:rPr>
                <w:b w:val="0"/>
                <w:sz w:val="18"/>
              </w:rPr>
              <w:t>B</w:t>
            </w:r>
          </w:p>
        </w:tc>
        <w:tc>
          <w:tcPr>
            <w:tcW w:type="dxa" w:w="2268"/>
          </w:tcPr>
          <w:p>
            <w:r>
              <w:rPr>
                <w:b w:val="0"/>
                <w:sz w:val="18"/>
              </w:rPr>
              <w:t>Synthèse par service</w:t>
            </w:r>
          </w:p>
        </w:tc>
        <w:tc>
          <w:tcPr>
            <w:tcW w:type="dxa" w:w="5669"/>
          </w:tcPr>
          <w:p>
            <w:r>
              <w:rPr>
                <w:b w:val="0"/>
                <w:sz w:val="18"/>
              </w:rPr>
              <w:t>Prévu, engagé, disponible, alerte de dépassement</w:t>
            </w:r>
          </w:p>
        </w:tc>
      </w:tr>
      <w:tr>
        <w:tc>
          <w:tcPr>
            <w:tcW w:type="dxa" w:w="1020"/>
          </w:tcPr>
          <w:p>
            <w:r>
              <w:rPr>
                <w:b w:val="0"/>
                <w:sz w:val="18"/>
              </w:rPr>
              <w:t>B</w:t>
            </w:r>
          </w:p>
        </w:tc>
        <w:tc>
          <w:tcPr>
            <w:tcW w:type="dxa" w:w="2268"/>
          </w:tcPr>
          <w:p>
            <w:r>
              <w:rPr>
                <w:b w:val="0"/>
                <w:sz w:val="18"/>
              </w:rPr>
              <w:t>Lignes</w:t>
            </w:r>
          </w:p>
        </w:tc>
        <w:tc>
          <w:tcPr>
            <w:tcW w:type="dxa" w:w="5669"/>
          </w:tcPr>
          <w:p>
            <w:r>
              <w:rPr>
                <w:b w:val="0"/>
                <w:sz w:val="18"/>
              </w:rPr>
              <w:t>Liste filtrable, écarts de conversion signalés, doublons probables</w:t>
            </w:r>
          </w:p>
        </w:tc>
      </w:tr>
      <w:tr>
        <w:tc>
          <w:tcPr>
            <w:tcW w:type="dxa" w:w="1020"/>
          </w:tcPr>
          <w:p>
            <w:r>
              <w:rPr>
                <w:b w:val="0"/>
                <w:sz w:val="18"/>
              </w:rPr>
              <w:t>B</w:t>
            </w:r>
          </w:p>
        </w:tc>
        <w:tc>
          <w:tcPr>
            <w:tcW w:type="dxa" w:w="2268"/>
          </w:tcPr>
          <w:p>
            <w:r>
              <w:rPr>
                <w:b w:val="0"/>
                <w:sz w:val="18"/>
              </w:rPr>
              <w:t>Scénarios</w:t>
            </w:r>
          </w:p>
        </w:tc>
        <w:tc>
          <w:tcPr>
            <w:tcW w:type="dxa" w:w="5669"/>
          </w:tcPr>
          <w:p>
            <w:r>
              <w:rPr>
                <w:b w:val="0"/>
                <w:sz w:val="18"/>
              </w:rPr>
              <w:t>Taux actuel et taux hypothétique, comparaison côte à côte, écart total</w:t>
            </w:r>
          </w:p>
        </w:tc>
      </w:tr>
      <w:tr>
        <w:tc>
          <w:tcPr>
            <w:tcW w:type="dxa" w:w="1020"/>
          </w:tcPr>
          <w:p>
            <w:r>
              <w:rPr>
                <w:b w:val="0"/>
                <w:sz w:val="18"/>
              </w:rPr>
              <w:t>Commun</w:t>
            </w:r>
          </w:p>
        </w:tc>
        <w:tc>
          <w:tcPr>
            <w:tcW w:type="dxa" w:w="2268"/>
          </w:tcPr>
          <w:p>
            <w:r>
              <w:rPr>
                <w:b w:val="0"/>
                <w:sz w:val="18"/>
              </w:rPr>
              <w:t>À propos</w:t>
            </w:r>
          </w:p>
        </w:tc>
        <w:tc>
          <w:tcPr>
            <w:tcW w:type="dxa" w:w="5669"/>
          </w:tcPr>
          <w:p>
            <w:r>
              <w:rPr>
                <w:b w:val="0"/>
                <w:sz w:val="18"/>
              </w:rPr>
              <w:t>Version, date, auteurs, limites, stockage des données</w:t>
            </w:r>
          </w:p>
        </w:tc>
      </w:tr>
    </w:tbl>
    <w:p>
      <w:pPr>
        <w:pStyle w:val="Heading2"/>
      </w:pPr>
      <w:r>
        <w:rPr>
          <w:color w:val="1D3A5F"/>
        </w:rPr>
        <w:t>Annexe 2 – Exemples de messages attendus</w:t>
      </w:r>
    </w:p>
    <w:p>
      <w:pPr>
        <w:pStyle w:val="ListBullet"/>
      </w:pPr>
      <w:r>
        <w:t>« Ligne 37 rejetée : le service “INFO” n'existe pas dans la liste des services. »</w:t>
      </w:r>
    </w:p>
    <w:p>
      <w:pPr>
        <w:pStyle w:val="ListBullet"/>
      </w:pPr>
      <w:r>
        <w:t>« Demande D-045 : la date souhaitée (12/09/2026) est antérieure à la date de saisie. »</w:t>
      </w:r>
    </w:p>
    <w:p>
      <w:pPr>
        <w:pStyle w:val="ListBullet"/>
      </w:pPr>
      <w:r>
        <w:t>« 3 lignes ignorées sur 304 : voir le rapport d'import. » (jamais d'ignorance silencieuse)</w:t>
      </w:r>
    </w:p>
    <w:p>
      <w:pPr>
        <w:pStyle w:val="ListBullet"/>
      </w:pPr>
      <w:r>
        <w:t>« Le scénario ne modifie pas les lignes mandatées (112 lignes exclues). »</w:t>
      </w:r>
    </w:p>
    <w:p>
      <w:r>
        <w:t>Les numéros cités ci-dessus sont des exemples de formulation et ne correspondent pas nécessairement au jeu d'essai.</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6"/>
      </w:rPr>
      <w:t>Cahier des charges – version 1.2 du 14/10/2026 – C. Delorme / P. Aubertin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70"/>
        <w:sz w:val="17"/>
      </w:rPr>
      <w:t>Lycée français international Marie-Curie de Valmont –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