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D3A5F"/>
        </w:rPr>
        <w:t>Rapport commun – Ouverture de l'Espace Horizon</w:t>
      </w:r>
    </w:p>
    <w:p>
      <w:r>
        <w:t>Équipes : Direction / Gestion / Outils – Rédacteurs : …</w:t>
      </w:r>
    </w:p>
    <w:p>
      <w:pPr>
        <w:pStyle w:val="Heading2"/>
      </w:pPr>
      <w:r>
        <w:rPr>
          <w:color w:val="1D3A5F"/>
        </w:rPr>
        <w:t>1. Ce qui est confirmé (avec la pièce justificative)</w:t>
      </w:r>
    </w:p>
    <w:p>
      <w:r>
        <w:t>…</w:t>
      </w:r>
    </w:p>
    <w:p>
      <w:pPr>
        <w:pStyle w:val="Heading2"/>
      </w:pPr>
      <w:r>
        <w:rPr>
          <w:color w:val="1D3A5F"/>
        </w:rPr>
        <w:t>2. Ce qui bloque l'ouverture du 9 novembre</w:t>
      </w:r>
    </w:p>
    <w:p>
      <w:r>
        <w:t>…</w:t>
      </w:r>
    </w:p>
    <w:p>
      <w:pPr>
        <w:pStyle w:val="Heading2"/>
      </w:pPr>
      <w:r>
        <w:rPr>
          <w:color w:val="1D3A5F"/>
        </w:rPr>
        <w:t>3. Contradictions entre documents</w:t>
      </w:r>
    </w:p>
    <w:p>
      <w:r>
        <w:t>…</w:t>
      </w:r>
    </w:p>
    <w:p>
      <w:pPr>
        <w:pStyle w:val="Heading2"/>
      </w:pPr>
      <w:r>
        <w:rPr>
          <w:color w:val="1D3A5F"/>
        </w:rPr>
        <w:t>4. Situation budgétaire (engagé / envisagé / non approuvé)</w:t>
      </w:r>
    </w:p>
    <w:p>
      <w:r>
        <w:t>…</w:t>
      </w:r>
    </w:p>
    <w:p>
      <w:pPr>
        <w:pStyle w:val="Heading2"/>
      </w:pPr>
      <w:r>
        <w:rPr>
          <w:color w:val="1D3A5F"/>
        </w:rPr>
        <w:t>5. Décisions à prendre par la proviseure (avec échéance)</w:t>
      </w:r>
    </w:p>
    <w:p>
      <w:r>
        <w:t>…</w:t>
      </w:r>
    </w:p>
    <w:p>
      <w:pPr>
        <w:pStyle w:val="Heading2"/>
      </w:pPr>
      <w:r>
        <w:rPr>
          <w:color w:val="1D3A5F"/>
        </w:rPr>
        <w:t>6. Actions proposées (qui, quoi, quand)</w:t>
      </w:r>
    </w:p>
    <w:p>
      <w:r>
        <w:t>…</w:t>
      </w:r>
    </w:p>
    <w:p>
      <w:pPr>
        <w:pStyle w:val="Heading2"/>
      </w:pPr>
      <w:r>
        <w:rPr>
          <w:color w:val="1D3A5F"/>
        </w:rPr>
        <w:t>7. Ce que les agents IA ont fait, ce que les équipes ont vérifié</w:t>
      </w:r>
    </w:p>
    <w:p>
      <w:r>
        <w:t>…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670"/>
        <w:sz w:val="16"/>
      </w:rPr>
      <w:t>Rapport commun – à remettre le 22/10/2026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670"/>
        <w:sz w:val="17"/>
      </w:rPr>
      <w:t>LFI Marie-Curie – Espace Horizon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