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3A5F"/>
        </w:rPr>
        <w:t>Note de cadrage – Revue des marchés et contrats</w:t>
      </w:r>
    </w:p>
    <w:p>
      <w:r>
        <w:t>De : Patrice Aubertin, DAF</w:t>
        <w:br/>
        <w:t>À : secrétariat de direction</w:t>
        <w:br/>
        <w:t>Date : 12 octobre 2026</w:t>
        <w:br/>
        <w:t>Objet : tableau des échéances demandé par la proviseure pour le CE du 17 novembre</w:t>
      </w:r>
    </w:p>
    <w:p>
      <w:pPr>
        <w:pStyle w:val="Heading2"/>
      </w:pPr>
      <w:r>
        <w:rPr>
          <w:color w:val="1D3A5F"/>
        </w:rPr>
        <w:t>Contexte</w:t>
      </w:r>
    </w:p>
    <w:p>
      <w:r>
        <w:t>Le registre des marchés est tenu à jour par le secrétariat depuis 2019. Il n'a pas fait l'objet d'une vérification complète depuis juin 2026 et plusieurs avenants ou courriers sont arrivés depuis. Mme Marquet quitte l'établissement le 30 octobre : le tableau servira aussi de base de passation.</w:t>
      </w:r>
    </w:p>
    <w:p>
      <w:pPr>
        <w:pStyle w:val="Heading2"/>
      </w:pPr>
      <w:r>
        <w:rPr>
          <w:color w:val="1D3A5F"/>
        </w:rPr>
        <w:t>Attendus</w:t>
      </w:r>
    </w:p>
    <w:p>
      <w:pPr>
        <w:pStyle w:val="ListBullet"/>
      </w:pPr>
      <w:r>
        <w:t>Un tableau de suivi sourcé (une ligne par marché retenu, chaque date justifiée par une pièce : contrat, avenant, courrier).</w:t>
      </w:r>
    </w:p>
    <w:p>
      <w:pPr>
        <w:pStyle w:val="ListBullet"/>
      </w:pPr>
      <w:r>
        <w:t>La date de fin réelle et la date limite de décision de chaque marché retenu, calculée à partir des clauses du contrat.</w:t>
      </w:r>
    </w:p>
    <w:p>
      <w:pPr>
        <w:pStyle w:val="ListBullet"/>
      </w:pPr>
      <w:r>
        <w:t>Une colonne « action proposée » (reconduire, ne pas reconduire, notifier, relancer, lancer une consultation, aucune action).</w:t>
      </w:r>
    </w:p>
    <w:p>
      <w:pPr>
        <w:pStyle w:val="ListBullet"/>
      </w:pPr>
      <w:r>
        <w:t>Les projets de courriers nécessaires, en brouillon, sans aucun envoi.</w:t>
      </w:r>
    </w:p>
    <w:p>
      <w:pPr>
        <w:pStyle w:val="ListBullet"/>
      </w:pPr>
      <w:r>
        <w:t>La liste des incohérences relevées entre le registre et les pièces, pour correction.</w:t>
      </w:r>
    </w:p>
    <w:p>
      <w:pPr>
        <w:pStyle w:val="Heading2"/>
      </w:pPr>
      <w:r>
        <w:rPr>
          <w:color w:val="1D3A5F"/>
        </w:rPr>
        <w:t>Points de vigilance</w:t>
      </w:r>
    </w:p>
    <w:p>
      <w:r>
        <w:t>Le registre n'a pas valeur probante : seules les pièces signées font foi. Les montants doivent être comparés en HT. Aucune information ne doit être communiquée à un prestataire sans validation de la proviseure.</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Document interne – formation (fictif)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0"/>
        <w:sz w:val="17"/>
      </w:rPr>
      <w:t>Lycée français international Marie-Curie de Valmont – Direction administrative et financière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