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3A5F"/>
        </w:rPr>
        <w:t>Procédure d'accueil des intervenants extérieurs</w:t>
      </w:r>
    </w:p>
    <w:p>
      <w:r>
        <w:t>Objet : organiser l'intervention, dans le cadre d'une activité pédagogique, d'une personne extérieure à l'établissement (artiste, conférencier, association, professionnel, parent bénévole).</w:t>
      </w:r>
    </w:p>
    <w:p>
      <w:pPr>
        <w:pStyle w:val="Heading2"/>
      </w:pPr>
      <w:r>
        <w:rPr>
          <w:color w:val="1D3A5F"/>
        </w:rPr>
        <w:t>1. Champ d'application</w:t>
      </w:r>
    </w:p>
    <w:p>
      <w:r>
        <w:t>La procédure s'applique à toute intervention ponctuelle ou régulière, rémunérée ou bénévole, se déroulant pendant le temps scolaire, en présence d'élèves, dans les locaux de l'établissement ou lors d'une sortie. Elle ne s'applique pas aux prestataires de service titulaires d'un marché (maintenance, nettoyage).</w:t>
      </w:r>
    </w:p>
    <w:p>
      <w:pPr>
        <w:pStyle w:val="Heading2"/>
      </w:pPr>
      <w:r>
        <w:rPr>
          <w:color w:val="1D3A5F"/>
        </w:rPr>
        <w:t>2. Étapes</w:t>
      </w:r>
    </w:p>
    <w:p>
      <w:pPr>
        <w:pStyle w:val="ListNumber"/>
      </w:pPr>
      <w:r>
        <w:t>L'enseignant porteur du projet transmet au secrétariat de direction la fiche de demande d'intervention au moins huit jours calendaires avant la date prévue.</w:t>
      </w:r>
    </w:p>
    <w:p>
      <w:pPr>
        <w:pStyle w:val="ListNumber"/>
      </w:pPr>
      <w:r>
        <w:t>Le secrétariat vérifie la complétude du dossier : identité de l'intervenant, objet, dates, public, attestation d'assurance responsabilité civile couvrant l'activité.</w:t>
      </w:r>
    </w:p>
    <w:p>
      <w:pPr>
        <w:pStyle w:val="ListNumber"/>
      </w:pPr>
      <w:r>
        <w:t>Le secrétariat prépare la convention à partir du modèle validé et la soumet au signataire compétent (proviseure, proviseur adjoint ou directrice du primaire selon la délégation n° 2026-014).</w:t>
      </w:r>
    </w:p>
    <w:p>
      <w:pPr>
        <w:pStyle w:val="ListNumber"/>
      </w:pPr>
      <w:r>
        <w:t>La convention est signée par les deux parties avant le début de l'intervention. Aucune intervention n'a lieu sans convention signée.</w:t>
      </w:r>
    </w:p>
    <w:p>
      <w:pPr>
        <w:pStyle w:val="ListNumber"/>
      </w:pPr>
      <w:r>
        <w:t>Le secrétariat enregistre la convention dans le registre des intervenants et informe l'accueil (badge nominatif, date, salle).</w:t>
      </w:r>
    </w:p>
    <w:p>
      <w:pPr>
        <w:pStyle w:val="ListNumber"/>
      </w:pPr>
      <w:r>
        <w:t>Après l'intervention, l'enseignant transmet un bref bilan ; le secrétariat archive le dossier.</w:t>
      </w:r>
    </w:p>
    <w:p>
      <w:pPr>
        <w:pStyle w:val="Heading2"/>
      </w:pPr>
      <w:r>
        <w:rPr>
          <w:color w:val="1D3A5F"/>
        </w:rPr>
        <w:t>3. Durée des conventions</w:t>
      </w:r>
    </w:p>
    <w:p>
      <w:r>
        <w:t>Une convention est établie pour chaque action.</w:t>
      </w:r>
    </w:p>
    <w:p>
      <w:pPr>
        <w:pStyle w:val="Heading2"/>
      </w:pPr>
      <w:r>
        <w:rPr>
          <w:color w:val="1D3A5F"/>
        </w:rPr>
        <w:t>4. Pièces et modèles</w:t>
      </w:r>
    </w:p>
    <w:tbl>
      <w:tblPr>
        <w:tblStyle w:val="TableGrid"/>
        <w:tblW w:type="auto" w:w="0"/>
        <w:tblLook w:firstColumn="1" w:firstRow="1" w:lastColumn="0" w:lastRow="0" w:noHBand="0" w:noVBand="1" w:val="04A0"/>
      </w:tblPr>
      <w:tblGrid>
        <w:gridCol w:w="4873"/>
        <w:gridCol w:w="4873"/>
      </w:tblGrid>
      <w:tr>
        <w:tc>
          <w:tcPr>
            <w:tcW w:type="dxa" w:w="3969"/>
          </w:tcPr>
          <w:p>
            <w:r>
              <w:rPr>
                <w:b/>
                <w:sz w:val="18"/>
              </w:rPr>
              <w:t>Pièce</w:t>
            </w:r>
          </w:p>
        </w:tc>
        <w:tc>
          <w:tcPr>
            <w:tcW w:type="dxa" w:w="5102"/>
          </w:tcPr>
          <w:p>
            <w:r>
              <w:rPr>
                <w:b/>
                <w:sz w:val="18"/>
              </w:rPr>
              <w:t>Où la trouver</w:t>
            </w:r>
          </w:p>
        </w:tc>
      </w:tr>
      <w:tr>
        <w:tc>
          <w:tcPr>
            <w:tcW w:type="dxa" w:w="3969"/>
          </w:tcPr>
          <w:p>
            <w:r>
              <w:rPr>
                <w:b w:val="0"/>
                <w:sz w:val="18"/>
              </w:rPr>
              <w:t>Fiche de demande d'intervention</w:t>
            </w:r>
          </w:p>
        </w:tc>
        <w:tc>
          <w:tcPr>
            <w:tcW w:type="dxa" w:w="5102"/>
          </w:tcPr>
          <w:p>
            <w:r>
              <w:rPr>
                <w:b w:val="0"/>
                <w:sz w:val="18"/>
              </w:rPr>
              <w:t>Drive Secrétariat / Modèles / FD-INT</w:t>
            </w:r>
          </w:p>
        </w:tc>
      </w:tr>
      <w:tr>
        <w:tc>
          <w:tcPr>
            <w:tcW w:type="dxa" w:w="3969"/>
          </w:tcPr>
          <w:p>
            <w:r>
              <w:rPr>
                <w:b w:val="0"/>
                <w:sz w:val="18"/>
              </w:rPr>
              <w:t>Modèle de convention</w:t>
            </w:r>
          </w:p>
        </w:tc>
        <w:tc>
          <w:tcPr>
            <w:tcW w:type="dxa" w:w="5102"/>
          </w:tcPr>
          <w:p>
            <w:r>
              <w:rPr>
                <w:b w:val="0"/>
                <w:sz w:val="18"/>
              </w:rPr>
              <w:t>Drive Secrétariat / Modèles / CONV-INT</w:t>
            </w:r>
          </w:p>
        </w:tc>
      </w:tr>
      <w:tr>
        <w:tc>
          <w:tcPr>
            <w:tcW w:type="dxa" w:w="3969"/>
          </w:tcPr>
          <w:p>
            <w:r>
              <w:rPr>
                <w:b w:val="0"/>
                <w:sz w:val="18"/>
              </w:rPr>
              <w:t>Registre des intervenants</w:t>
            </w:r>
          </w:p>
        </w:tc>
        <w:tc>
          <w:tcPr>
            <w:tcW w:type="dxa" w:w="5102"/>
          </w:tcPr>
          <w:p>
            <w:r>
              <w:rPr>
                <w:b w:val="0"/>
                <w:sz w:val="18"/>
              </w:rPr>
              <w:t>Drive Secrétariat / Registres</w:t>
            </w:r>
          </w:p>
        </w:tc>
      </w:tr>
    </w:tbl>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PROC-ACC-01 – Version 1 – validée le 04/09/2023 – remplacée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LFI Marie-Curie – Secrétariat de direction – PROC-ACC-01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