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2"/>
        <w:rPr>
          <w:rFonts w:ascii="Times New Roman"/>
          <w:sz w:val="36"/>
        </w:rPr>
      </w:pPr>
    </w:p>
    <w:p>
      <w:pPr>
        <w:pStyle w:val="Heading1"/>
      </w:pPr>
      <w:r>
        <w:rPr/>
        <w:t>ZDPTL</w:t>
      </w:r>
      <w:r>
        <w:rPr>
          <w:spacing w:val="-2"/>
        </w:rPr>
        <w:t> 流敏消谐电阻器</w:t>
      </w:r>
    </w:p>
    <w:p>
      <w:pPr>
        <w:pStyle w:val="BodyText"/>
        <w:rPr>
          <w:rFonts w:ascii="NSimSun"/>
          <w:sz w:val="36"/>
        </w:rPr>
      </w:pPr>
    </w:p>
    <w:p>
      <w:pPr>
        <w:pStyle w:val="BodyText"/>
        <w:rPr>
          <w:rFonts w:ascii="NSimSun"/>
          <w:sz w:val="36"/>
        </w:rPr>
      </w:pPr>
    </w:p>
    <w:p>
      <w:pPr>
        <w:pStyle w:val="BodyText"/>
        <w:spacing w:before="288"/>
        <w:rPr>
          <w:rFonts w:ascii="NSimSun"/>
          <w:sz w:val="36"/>
        </w:rPr>
      </w:pPr>
    </w:p>
    <w:p>
      <w:pPr>
        <w:pStyle w:val="Title"/>
        <w:spacing w:line="530" w:lineRule="auto"/>
      </w:pPr>
      <w:r>
        <w:rPr>
          <w:spacing w:val="-10"/>
        </w:rPr>
        <w:t>产品说明书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554"/>
        <w:rPr>
          <w:sz w:val="44"/>
        </w:rPr>
      </w:pPr>
    </w:p>
    <w:p>
      <w:pPr>
        <w:pStyle w:val="Heading1"/>
        <w:rPr>
          <w:rFonts w:ascii="SimSun" w:eastAsia="SimSun"/>
        </w:rPr>
      </w:pPr>
      <w:r>
        <w:rPr>
          <w:rFonts w:ascii="SimSun" w:eastAsia="SimSun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2421635</wp:posOffset>
            </wp:positionH>
            <wp:positionV relativeFrom="paragraph">
              <wp:posOffset>309269</wp:posOffset>
            </wp:positionV>
            <wp:extent cx="2690215" cy="14801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215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/>
          <w:spacing w:val="-1"/>
        </w:rPr>
        <w:t>苏州中沛电力科技有限公司</w:t>
      </w:r>
    </w:p>
    <w:p>
      <w:pPr>
        <w:pStyle w:val="Heading1"/>
        <w:spacing w:after="0"/>
        <w:rPr>
          <w:rFonts w:ascii="SimSun" w:eastAsia="SimSun"/>
        </w:rPr>
        <w:sectPr>
          <w:type w:val="continuous"/>
          <w:pgSz w:w="11910" w:h="16840"/>
          <w:pgMar w:top="1920" w:bottom="280" w:left="1417" w:right="1275"/>
        </w:sectPr>
      </w:pPr>
    </w:p>
    <w:p>
      <w:pPr>
        <w:pStyle w:val="BodyText"/>
        <w:spacing w:before="133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582" w:val="left" w:leader="none"/>
        </w:tabs>
        <w:spacing w:line="240" w:lineRule="auto" w:before="1" w:after="0"/>
        <w:ind w:left="582" w:right="0" w:hanging="480"/>
        <w:jc w:val="left"/>
      </w:pPr>
      <w:r>
        <w:rPr>
          <w:spacing w:val="-3"/>
        </w:rPr>
        <w:t>产品概述</w:t>
      </w:r>
    </w:p>
    <w:p>
      <w:pPr>
        <w:pStyle w:val="BodyText"/>
        <w:spacing w:before="26"/>
        <w:rPr>
          <w:sz w:val="24"/>
        </w:rPr>
      </w:pPr>
    </w:p>
    <w:p>
      <w:pPr>
        <w:pStyle w:val="BodyText"/>
        <w:spacing w:line="278" w:lineRule="auto" w:before="1"/>
        <w:ind w:left="102" w:right="138" w:firstLine="420"/>
      </w:pPr>
      <w:r>
        <w:rPr>
          <w:spacing w:val="-7"/>
        </w:rPr>
        <w:t>在中性点非有效接地系统中，为了测量三相对地电压和监视对地绝缘，</w:t>
      </w:r>
      <w:r>
        <w:rPr>
          <w:spacing w:val="-2"/>
        </w:rPr>
        <w:t>PT</w:t>
      </w:r>
      <w:r>
        <w:rPr>
          <w:spacing w:val="-10"/>
        </w:rPr>
        <w:t> 的中性点直接接地，</w:t>
      </w:r>
      <w:r>
        <w:rPr>
          <w:spacing w:val="-15"/>
        </w:rPr>
        <w:t>由于 </w:t>
      </w:r>
      <w:r>
        <w:rPr/>
        <w:t>PT</w:t>
      </w:r>
      <w:r>
        <w:rPr>
          <w:spacing w:val="-8"/>
        </w:rPr>
        <w:t> 低压侧负载很小，接近于空载状态，从高压侧对地看入的等效励磁感抗很大，在某些切换</w:t>
      </w:r>
      <w:r>
        <w:rPr/>
        <w:t>操作或接地故障消失之后，PT 的等效励磁感抗将与系统对地等效电容构成特殊的谐振回路，激发起各种谐波的铁磁谐振过电压，引起 PT</w:t>
      </w:r>
      <w:r>
        <w:rPr>
          <w:spacing w:val="-13"/>
        </w:rPr>
        <w:t> 饱和，由于 </w:t>
      </w:r>
      <w:r>
        <w:rPr/>
        <w:t>PT</w:t>
      </w:r>
      <w:r>
        <w:rPr>
          <w:spacing w:val="-7"/>
        </w:rPr>
        <w:t> 熔断器不能有效熔断数百至数千毫安的饱</w:t>
      </w:r>
      <w:r>
        <w:rPr/>
        <w:t>和励磁电流，最终导致 PT 烧损、PT 柜及避雷器爆炸、母线短路、冲击主变、威胁工作人员人身</w:t>
      </w:r>
      <w:r>
        <w:rPr>
          <w:spacing w:val="-2"/>
        </w:rPr>
        <w:t>安全等事故，对电网的安全运行构成了很大的威胁，并严重影响了供电的可靠性。</w:t>
      </w:r>
    </w:p>
    <w:p>
      <w:pPr>
        <w:pStyle w:val="BodyText"/>
        <w:spacing w:before="42"/>
      </w:pPr>
    </w:p>
    <w:p>
      <w:pPr>
        <w:pStyle w:val="BodyText"/>
        <w:spacing w:line="278" w:lineRule="auto"/>
        <w:ind w:left="102" w:right="138" w:firstLine="420"/>
      </w:pPr>
      <w:r>
        <w:rPr>
          <w:spacing w:val="-3"/>
          <w:w w:val="99"/>
        </w:rPr>
        <w:t>传统的一次消谐阻尼电阻选用压敏电阻(通常为碳化硅材料)，即正常运行条件下呈现为高阻，</w:t>
      </w:r>
      <w:r>
        <w:rPr>
          <w:w w:val="99"/>
        </w:rPr>
        <w:t>发生谐振时电阻阻值下降，这样不利于消除谐振，正常运行状态下，还会对互感器的测量精度产</w:t>
      </w:r>
      <w:r>
        <w:rPr>
          <w:spacing w:val="-1"/>
          <w:w w:val="99"/>
        </w:rPr>
        <w:t>生影响，严重时还可能放大中性点不平衡电压，导致系统不能正常运行；</w:t>
      </w:r>
    </w:p>
    <w:p>
      <w:pPr>
        <w:pStyle w:val="BodyText"/>
        <w:spacing w:before="42"/>
      </w:pPr>
    </w:p>
    <w:p>
      <w:pPr>
        <w:pStyle w:val="BodyText"/>
        <w:ind w:left="522"/>
      </w:pPr>
      <w:r>
        <w:rPr>
          <w:spacing w:val="-3"/>
        </w:rPr>
        <w:t>二次消谐对消除重复发生的谐振作用不佳，对互感器的测量也会产生影响。</w:t>
      </w:r>
    </w:p>
    <w:p>
      <w:pPr>
        <w:pStyle w:val="BodyText"/>
        <w:spacing w:before="86"/>
      </w:pPr>
    </w:p>
    <w:p>
      <w:pPr>
        <w:pStyle w:val="BodyText"/>
        <w:spacing w:line="278" w:lineRule="auto"/>
        <w:ind w:left="102" w:right="245" w:firstLine="420"/>
        <w:jc w:val="both"/>
      </w:pPr>
      <w:r>
        <w:rPr>
          <w:spacing w:val="-3"/>
        </w:rPr>
        <w:t>而流敏消谐电阻器，能够实现连续快速消谐，基波谐振的消谐时间约为 </w:t>
      </w:r>
      <w:r>
        <w:rPr>
          <w:spacing w:val="-2"/>
        </w:rPr>
        <w:t>1.56s,分频谐振的消</w:t>
      </w:r>
      <w:r>
        <w:rPr>
          <w:spacing w:val="-5"/>
        </w:rPr>
        <w:t>谐时间约为 </w:t>
      </w:r>
      <w:r>
        <w:rPr/>
        <w:t>2.1</w:t>
      </w:r>
      <w:r>
        <w:rPr>
          <w:spacing w:val="-14"/>
        </w:rPr>
        <w:t> </w:t>
      </w:r>
      <w:r>
        <w:rPr/>
        <w:t>s</w:t>
      </w:r>
      <w:r>
        <w:rPr>
          <w:spacing w:val="-3"/>
        </w:rPr>
        <w:t> 左右。在 </w:t>
      </w:r>
      <w:r>
        <w:rPr/>
        <w:t>3.5</w:t>
      </w:r>
      <w:r>
        <w:rPr>
          <w:spacing w:val="-3"/>
        </w:rPr>
        <w:t> 倍过电压下，限流消谐器能够将 </w:t>
      </w:r>
      <w:r>
        <w:rPr/>
        <w:t>PT</w:t>
      </w:r>
      <w:r>
        <w:rPr>
          <w:spacing w:val="-5"/>
        </w:rPr>
        <w:t> 激磁电流限制在 </w:t>
      </w:r>
      <w:r>
        <w:rPr/>
        <w:t>100mA</w:t>
      </w:r>
      <w:r>
        <w:rPr>
          <w:spacing w:val="-3"/>
        </w:rPr>
        <w:t> 以</w:t>
      </w:r>
      <w:r>
        <w:rPr>
          <w:spacing w:val="-6"/>
        </w:rPr>
        <w:t>下。</w:t>
      </w:r>
    </w:p>
    <w:p>
      <w:pPr>
        <w:pStyle w:val="BodyText"/>
        <w:spacing w:before="25"/>
      </w:pPr>
    </w:p>
    <w:p>
      <w:pPr>
        <w:pStyle w:val="Heading2"/>
        <w:numPr>
          <w:ilvl w:val="0"/>
          <w:numId w:val="1"/>
        </w:numPr>
        <w:tabs>
          <w:tab w:pos="582" w:val="left" w:leader="none"/>
        </w:tabs>
        <w:spacing w:line="240" w:lineRule="auto" w:before="0" w:after="0"/>
        <w:ind w:left="582" w:right="0" w:hanging="480"/>
        <w:jc w:val="left"/>
      </w:pPr>
      <w:r>
        <w:rPr>
          <w:spacing w:val="-3"/>
        </w:rPr>
        <w:t>工作原理</w:t>
      </w:r>
    </w:p>
    <w:p>
      <w:pPr>
        <w:pStyle w:val="BodyText"/>
        <w:spacing w:before="27"/>
        <w:rPr>
          <w:sz w:val="24"/>
        </w:rPr>
      </w:pPr>
    </w:p>
    <w:p>
      <w:pPr>
        <w:pStyle w:val="BodyText"/>
        <w:ind w:left="522"/>
      </w:pPr>
      <w:r>
        <w:rPr>
          <w:spacing w:val="-3"/>
        </w:rPr>
        <w:t>利用电阻的阻尼作用，可破坏其谐振条件，使谐振消除。</w:t>
      </w:r>
    </w:p>
    <w:p>
      <w:pPr>
        <w:pStyle w:val="BodyText"/>
        <w:spacing w:line="278" w:lineRule="auto" w:before="43"/>
        <w:ind w:left="102" w:right="242" w:firstLine="420"/>
        <w:jc w:val="both"/>
      </w:pPr>
      <w:r>
        <w:rPr/>
        <w:t>流敏消谐电阻器串联安装在 PT 中性点与地之间，正常运行状态下电阻为 3kΩ</w:t>
      </w:r>
      <w:r>
        <w:rPr>
          <w:spacing w:val="-6"/>
        </w:rPr>
        <w:t>左右，而 </w:t>
      </w:r>
      <w:r>
        <w:rPr/>
        <w:t>PT</w:t>
      </w:r>
      <w:r>
        <w:rPr>
          <w:spacing w:val="2"/>
        </w:rPr>
        <w:t>一次绕组的阻抗为兆欧级，因此不会对 </w:t>
      </w:r>
      <w:r>
        <w:rPr/>
        <w:t>PT</w:t>
      </w:r>
      <w:r>
        <w:rPr>
          <w:spacing w:val="-6"/>
        </w:rPr>
        <w:t> 的各项性能产生影响，同时也不会明显改变系统的各</w:t>
      </w:r>
      <w:r>
        <w:rPr>
          <w:spacing w:val="-4"/>
        </w:rPr>
        <w:t>项参数。</w:t>
      </w:r>
    </w:p>
    <w:p>
      <w:pPr>
        <w:pStyle w:val="BodyText"/>
        <w:spacing w:before="42"/>
      </w:pPr>
    </w:p>
    <w:p>
      <w:pPr>
        <w:pStyle w:val="BodyText"/>
        <w:spacing w:line="278" w:lineRule="auto"/>
        <w:ind w:left="102" w:right="244" w:firstLine="420"/>
        <w:jc w:val="both"/>
      </w:pPr>
      <w:r>
        <w:rPr/>
        <w:t>当 PT 发生谐振时铁芯饱和，一次绕组激磁电流增加，流敏消谐电阻器温度升高，电阻快速</w:t>
      </w:r>
      <w:r>
        <w:rPr>
          <w:spacing w:val="-2"/>
        </w:rPr>
        <w:t>增长，能够较好的发挥出阻尼作用。而且谐振能量越大，流敏消谐电阻器的消谐时间越短，对设备的绝缘更为有利。</w:t>
      </w:r>
    </w:p>
    <w:p>
      <w:pPr>
        <w:pStyle w:val="BodyText"/>
        <w:spacing w:before="25"/>
      </w:pPr>
    </w:p>
    <w:p>
      <w:pPr>
        <w:pStyle w:val="Heading2"/>
        <w:numPr>
          <w:ilvl w:val="0"/>
          <w:numId w:val="1"/>
        </w:numPr>
        <w:tabs>
          <w:tab w:pos="582" w:val="left" w:leader="none"/>
        </w:tabs>
        <w:spacing w:line="240" w:lineRule="auto" w:before="0" w:after="0"/>
        <w:ind w:left="582" w:right="0" w:hanging="480"/>
        <w:jc w:val="left"/>
      </w:pPr>
      <w:r>
        <w:rPr>
          <w:spacing w:val="-2"/>
        </w:rPr>
        <w:t>型号命名及参数</w:t>
      </w:r>
    </w:p>
    <w:p>
      <w:pPr>
        <w:pStyle w:val="BodyText"/>
        <w:spacing w:before="57"/>
        <w:rPr>
          <w:sz w:val="20"/>
        </w:rPr>
      </w:pPr>
    </w:p>
    <w:tbl>
      <w:tblPr>
        <w:tblW w:w="0" w:type="auto"/>
        <w:jc w:val="left"/>
        <w:tblInd w:w="1416" w:type="dxa"/>
        <w:tblBorders>
          <w:top w:val="single" w:sz="8" w:space="0" w:color="76746C"/>
          <w:left w:val="single" w:sz="8" w:space="0" w:color="76746C"/>
          <w:bottom w:val="single" w:sz="8" w:space="0" w:color="76746C"/>
          <w:right w:val="single" w:sz="8" w:space="0" w:color="76746C"/>
          <w:insideH w:val="single" w:sz="8" w:space="0" w:color="76746C"/>
          <w:insideV w:val="single" w:sz="8" w:space="0" w:color="76746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6"/>
        <w:gridCol w:w="1994"/>
        <w:gridCol w:w="1760"/>
      </w:tblGrid>
      <w:tr>
        <w:trPr>
          <w:trHeight w:val="402" w:hRule="atLeast"/>
        </w:trPr>
        <w:tc>
          <w:tcPr>
            <w:tcW w:w="2506" w:type="dxa"/>
          </w:tcPr>
          <w:p>
            <w:pPr>
              <w:pStyle w:val="TableParagraph"/>
              <w:spacing w:before="74"/>
              <w:ind w:left="750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型号命名</w:t>
            </w:r>
          </w:p>
        </w:tc>
        <w:tc>
          <w:tcPr>
            <w:tcW w:w="1994" w:type="dxa"/>
          </w:tcPr>
          <w:p>
            <w:pPr>
              <w:pStyle w:val="TableParagraph"/>
              <w:spacing w:before="74"/>
              <w:ind w:left="406"/>
              <w:rPr>
                <w:sz w:val="20"/>
              </w:rPr>
            </w:pPr>
            <w:r>
              <w:rPr>
                <w:color w:val="333333"/>
                <w:spacing w:val="-7"/>
                <w:sz w:val="20"/>
              </w:rPr>
              <w:t>系统额定电压</w:t>
            </w:r>
          </w:p>
        </w:tc>
        <w:tc>
          <w:tcPr>
            <w:tcW w:w="1760" w:type="dxa"/>
          </w:tcPr>
          <w:p>
            <w:pPr>
              <w:pStyle w:val="TableParagraph"/>
              <w:spacing w:before="74"/>
              <w:ind w:left="486"/>
              <w:rPr>
                <w:sz w:val="20"/>
              </w:rPr>
            </w:pPr>
            <w:r>
              <w:rPr>
                <w:color w:val="333333"/>
                <w:spacing w:val="-8"/>
                <w:sz w:val="20"/>
              </w:rPr>
              <w:t>最大电流</w:t>
            </w:r>
          </w:p>
        </w:tc>
      </w:tr>
      <w:tr>
        <w:trPr>
          <w:trHeight w:val="419" w:hRule="atLeast"/>
        </w:trPr>
        <w:tc>
          <w:tcPr>
            <w:tcW w:w="2506" w:type="dxa"/>
          </w:tcPr>
          <w:p>
            <w:pPr>
              <w:pStyle w:val="TableParagraph"/>
              <w:tabs>
                <w:tab w:pos="1585" w:val="left" w:leader="none"/>
              </w:tabs>
              <w:spacing w:before="70"/>
              <w:ind w:left="219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ZDPTL-</w:t>
            </w:r>
            <w:r>
              <w:rPr>
                <w:color w:val="333333"/>
                <w:spacing w:val="-5"/>
                <w:sz w:val="21"/>
              </w:rPr>
              <w:t>10</w:t>
            </w:r>
            <w:r>
              <w:rPr>
                <w:color w:val="333333"/>
                <w:sz w:val="21"/>
              </w:rPr>
              <w:tab/>
            </w:r>
            <w:r>
              <w:rPr>
                <w:color w:val="333333"/>
                <w:spacing w:val="-5"/>
                <w:sz w:val="21"/>
              </w:rPr>
              <w:t>户内型</w:t>
            </w:r>
          </w:p>
        </w:tc>
        <w:tc>
          <w:tcPr>
            <w:tcW w:w="1994" w:type="dxa"/>
            <w:vMerge w:val="restart"/>
          </w:tcPr>
          <w:p>
            <w:pPr>
              <w:pStyle w:val="TableParagraph"/>
              <w:spacing w:before="54"/>
              <w:rPr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10KV</w:t>
            </w:r>
          </w:p>
        </w:tc>
        <w:tc>
          <w:tcPr>
            <w:tcW w:w="1760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200mA</w:t>
            </w:r>
          </w:p>
        </w:tc>
      </w:tr>
      <w:tr>
        <w:trPr>
          <w:trHeight w:val="438" w:hRule="atLeast"/>
        </w:trPr>
        <w:tc>
          <w:tcPr>
            <w:tcW w:w="2506" w:type="dxa"/>
          </w:tcPr>
          <w:p>
            <w:pPr>
              <w:pStyle w:val="TableParagraph"/>
              <w:spacing w:before="80"/>
              <w:ind w:left="219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ZDPTL-10（W）</w:t>
            </w:r>
            <w:r>
              <w:rPr>
                <w:color w:val="333333"/>
                <w:spacing w:val="-5"/>
                <w:sz w:val="21"/>
              </w:rPr>
              <w:t>户外型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9" w:hRule="atLeast"/>
        </w:trPr>
        <w:tc>
          <w:tcPr>
            <w:tcW w:w="2506" w:type="dxa"/>
          </w:tcPr>
          <w:p>
            <w:pPr>
              <w:pStyle w:val="TableParagraph"/>
              <w:tabs>
                <w:tab w:pos="1585" w:val="left" w:leader="none"/>
              </w:tabs>
              <w:spacing w:before="82"/>
              <w:ind w:left="219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ZDPTL-</w:t>
            </w:r>
            <w:r>
              <w:rPr>
                <w:color w:val="333333"/>
                <w:spacing w:val="-5"/>
                <w:sz w:val="21"/>
              </w:rPr>
              <w:t>35</w:t>
            </w:r>
            <w:r>
              <w:rPr>
                <w:color w:val="333333"/>
                <w:sz w:val="21"/>
              </w:rPr>
              <w:tab/>
            </w:r>
            <w:r>
              <w:rPr>
                <w:color w:val="333333"/>
                <w:spacing w:val="-5"/>
                <w:sz w:val="21"/>
              </w:rPr>
              <w:t>户内型</w:t>
            </w:r>
          </w:p>
        </w:tc>
        <w:tc>
          <w:tcPr>
            <w:tcW w:w="1994" w:type="dxa"/>
            <w:vMerge w:val="restart"/>
          </w:tcPr>
          <w:p>
            <w:pPr>
              <w:pStyle w:val="TableParagraph"/>
              <w:spacing w:before="76"/>
              <w:rPr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35KV</w:t>
            </w:r>
          </w:p>
        </w:tc>
        <w:tc>
          <w:tcPr>
            <w:tcW w:w="17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8" w:hRule="atLeast"/>
        </w:trPr>
        <w:tc>
          <w:tcPr>
            <w:tcW w:w="2506" w:type="dxa"/>
          </w:tcPr>
          <w:p>
            <w:pPr>
              <w:pStyle w:val="TableParagraph"/>
              <w:spacing w:before="91"/>
              <w:ind w:left="219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ZDPTL-35（W）</w:t>
            </w:r>
            <w:r>
              <w:rPr>
                <w:color w:val="333333"/>
                <w:spacing w:val="-5"/>
                <w:sz w:val="21"/>
              </w:rPr>
              <w:t>户外型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1920" w:bottom="280" w:left="1417" w:right="1275"/>
        </w:sectPr>
      </w:pPr>
    </w:p>
    <w:p>
      <w:pPr>
        <w:pStyle w:val="Heading2"/>
        <w:numPr>
          <w:ilvl w:val="0"/>
          <w:numId w:val="1"/>
        </w:numPr>
        <w:tabs>
          <w:tab w:pos="582" w:val="left" w:leader="none"/>
        </w:tabs>
        <w:spacing w:line="240" w:lineRule="auto" w:before="37" w:after="0"/>
        <w:ind w:left="582" w:right="0" w:hanging="480"/>
        <w:jc w:val="left"/>
      </w:pPr>
      <w:r>
        <w:rPr>
          <w:spacing w:val="-3"/>
        </w:rPr>
        <w:t>产品特点</w:t>
      </w:r>
    </w:p>
    <w:p>
      <w:pPr>
        <w:pStyle w:val="BodyText"/>
        <w:spacing w:before="27"/>
        <w:rPr>
          <w:sz w:val="24"/>
        </w:rPr>
      </w:pPr>
    </w:p>
    <w:p>
      <w:pPr>
        <w:pStyle w:val="BodyText"/>
        <w:ind w:left="522"/>
      </w:pPr>
      <w:r>
        <w:rPr>
          <w:spacing w:val="-3"/>
        </w:rPr>
        <w:t>流敏消谐电阻器结构简单、体积小巧，安装方便，运行可靠；</w:t>
      </w:r>
    </w:p>
    <w:p>
      <w:pPr>
        <w:pStyle w:val="BodyText"/>
        <w:spacing w:line="278" w:lineRule="auto" w:before="43"/>
        <w:ind w:left="102" w:right="244" w:firstLine="420"/>
      </w:pPr>
      <w:r>
        <w:rPr>
          <w:spacing w:val="-2"/>
        </w:rPr>
        <w:t>在正常运行条件下，流敏消谐电阻器呈现低阻，不改变电压互感器的运行工况，对互感器的</w:t>
      </w:r>
      <w:r>
        <w:rPr>
          <w:spacing w:val="-2"/>
        </w:rPr>
        <w:t>测量精度不会产生影响。</w:t>
      </w:r>
    </w:p>
    <w:p>
      <w:pPr>
        <w:pStyle w:val="BodyText"/>
        <w:spacing w:line="278" w:lineRule="auto"/>
        <w:ind w:left="522" w:right="1972"/>
      </w:pPr>
      <w:r>
        <w:rPr>
          <w:spacing w:val="-6"/>
        </w:rPr>
        <w:t>发生 </w:t>
      </w:r>
      <w:r>
        <w:rPr/>
        <w:t>PT</w:t>
      </w:r>
      <w:r>
        <w:rPr>
          <w:spacing w:val="-5"/>
        </w:rPr>
        <w:t> 铁磁谐振时，一次限流消谐器因快速呈现高阻而实现快速消谐；</w:t>
      </w:r>
      <w:r>
        <w:rPr>
          <w:spacing w:val="-2"/>
        </w:rPr>
        <w:t>能够实现连续快速消谐，谐振过电压幅值越大，消谐时间越短；</w:t>
      </w:r>
    </w:p>
    <w:p>
      <w:pPr>
        <w:pStyle w:val="BodyText"/>
        <w:spacing w:line="278" w:lineRule="auto"/>
        <w:ind w:left="102" w:right="244" w:firstLine="420"/>
      </w:pPr>
      <w:r>
        <w:rPr>
          <w:spacing w:val="-2"/>
        </w:rPr>
        <w:t>能够限制电压互感器一次绕组的激磁电流突增，防止因电压互感器一次绕组电流增加，熔断</w:t>
      </w:r>
      <w:r>
        <w:rPr>
          <w:spacing w:val="-2"/>
        </w:rPr>
        <w:t>器熔断后因能量不足不能灭弧引发的母线短路事故。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2008632</wp:posOffset>
            </wp:positionH>
            <wp:positionV relativeFrom="paragraph">
              <wp:posOffset>234608</wp:posOffset>
            </wp:positionV>
            <wp:extent cx="3580504" cy="25025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504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7"/>
        <w:ind w:left="0" w:right="139" w:firstLine="0"/>
        <w:jc w:val="center"/>
        <w:rPr>
          <w:sz w:val="18"/>
        </w:rPr>
      </w:pPr>
      <w:r>
        <w:rPr>
          <w:spacing w:val="-1"/>
          <w:sz w:val="18"/>
        </w:rPr>
        <w:t>流敏消谐器温度与阻值变化趋势图</w:t>
      </w:r>
    </w:p>
    <w:p>
      <w:pPr>
        <w:spacing w:after="0"/>
        <w:jc w:val="center"/>
        <w:rPr>
          <w:sz w:val="18"/>
        </w:rPr>
        <w:sectPr>
          <w:pgSz w:w="11910" w:h="16840"/>
          <w:pgMar w:top="1700" w:bottom="280" w:left="1417" w:right="1275"/>
        </w:sectPr>
      </w:pPr>
    </w:p>
    <w:p>
      <w:pPr>
        <w:pStyle w:val="Heading2"/>
        <w:numPr>
          <w:ilvl w:val="0"/>
          <w:numId w:val="1"/>
        </w:numPr>
        <w:tabs>
          <w:tab w:pos="582" w:val="left" w:leader="none"/>
        </w:tabs>
        <w:spacing w:line="240" w:lineRule="auto" w:before="45" w:after="0"/>
        <w:ind w:left="582" w:right="0" w:hanging="480"/>
        <w:jc w:val="left"/>
      </w:pPr>
      <w:r>
        <w:rPr>
          <w:spacing w:val="-3"/>
        </w:rPr>
        <w:t>外形尺寸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1671827</wp:posOffset>
            </wp:positionH>
            <wp:positionV relativeFrom="paragraph">
              <wp:posOffset>203644</wp:posOffset>
            </wp:positionV>
            <wp:extent cx="4189565" cy="412289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565" cy="412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2238051</wp:posOffset>
            </wp:positionH>
            <wp:positionV relativeFrom="paragraph">
              <wp:posOffset>196219</wp:posOffset>
            </wp:positionV>
            <wp:extent cx="3239418" cy="26868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418" cy="268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1275"/>
        </w:sectPr>
      </w:pPr>
    </w:p>
    <w:p>
      <w:pPr>
        <w:spacing w:line="240" w:lineRule="auto"/>
        <w:ind w:left="12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17386" cy="368788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386" cy="368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1848891</wp:posOffset>
            </wp:positionH>
            <wp:positionV relativeFrom="paragraph">
              <wp:posOffset>276657</wp:posOffset>
            </wp:positionV>
            <wp:extent cx="3775157" cy="253555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5157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78" w:lineRule="auto"/>
        <w:ind w:left="3131" w:right="1948" w:hanging="1325"/>
        <w:rPr>
          <w:rFonts w:ascii="Calibri" w:eastAsia="Calibri"/>
        </w:rPr>
      </w:pPr>
      <w:r>
        <w:rPr>
          <w:spacing w:val="-2"/>
        </w:rPr>
        <w:t>说明书如有变更，不再另行通知，请联系厂家索取最新版本公司邮箱：</w:t>
      </w:r>
      <w:hyperlink r:id="rId11">
        <w:r>
          <w:rPr>
            <w:rFonts w:ascii="Calibri" w:eastAsia="Calibri"/>
            <w:spacing w:val="-2"/>
          </w:rPr>
          <w:t>szzpdl666@163.com</w:t>
        </w:r>
      </w:hyperlink>
    </w:p>
    <w:sectPr>
      <w:pgSz w:w="11910" w:h="16840"/>
      <w:pgMar w:top="148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NSimSun">
    <w:altName w:val="NSimSun"/>
    <w:charset w:val="1"/>
    <w:family w:val="modern"/>
    <w:pitch w:val="default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chineseCountingThousand"/>
      <w:lvlText w:val="%1、"/>
      <w:lvlJc w:val="left"/>
      <w:pPr>
        <w:ind w:left="583" w:hanging="4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443" w:hanging="4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06" w:hanging="4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70" w:hanging="4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33" w:hanging="4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97" w:hanging="4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760" w:hanging="4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23" w:hanging="4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87" w:hanging="48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right="143"/>
      <w:jc w:val="center"/>
      <w:outlineLvl w:val="1"/>
    </w:pPr>
    <w:rPr>
      <w:rFonts w:ascii="NSimSun" w:hAnsi="NSimSun" w:eastAsia="NSimSun" w:cs="NSimSun"/>
      <w:sz w:val="36"/>
      <w:szCs w:val="36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582" w:hanging="480"/>
      <w:outlineLvl w:val="2"/>
    </w:pPr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ind w:left="4316" w:right="4456"/>
      <w:jc w:val="both"/>
    </w:pPr>
    <w:rPr>
      <w:rFonts w:ascii="SimSun" w:hAnsi="SimSun" w:eastAsia="SimSun" w:cs="SimSun"/>
      <w:sz w:val="44"/>
      <w:szCs w:val="4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582" w:hanging="48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yperlink" Target="mailto:szzpdl666@163.com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君行天下</dc:creator>
  <dc:description/>
  <dcterms:created xsi:type="dcterms:W3CDTF">2026-08-27T08:43:17Z</dcterms:created>
  <dcterms:modified xsi:type="dcterms:W3CDTF">2026-08-27T08:43:17Z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2026-08-27T00:00:00Z</vt:filetime>
  </property>
  <property fmtid="{D5CDD505-2E9C-101B-9397-08002B2CF9AE}" pid="6" name="SourceModified">
    <vt:lpwstr>D:20260515094726+08'00'</vt:lpwstr>
  </property>
</Properties>
</file>