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LegalTitle"/>
      </w:pPr>
      <w:r>
        <w:t>Privacy Policy</w:t>
      </w:r>
    </w:p>
    <w:p>
      <w:pPr>
        <w:pStyle w:val="LegalSubtitle"/>
      </w:pPr>
      <w:r>
        <w:t>360 Performance  |  Effective date: [EFFECTIVE DATE]</w:t>
      </w:r>
    </w:p>
    <w:p>
      <w:pPr>
        <w:pStyle w:val="DraftNotice"/>
        <w:shd w:fill="FFF4CE"/>
        <w:pBdr>
          <w:top w:val="single" w:sz="8" w:space="6" w:color="E2B93B"/>
          <w:left w:val="single" w:sz="8" w:space="6" w:color="E2B93B"/>
          <w:bottom w:val="single" w:sz="8" w:space="6" w:color="E2B93B"/>
          <w:right w:val="single" w:sz="8" w:space="6" w:color="E2B93B"/>
        </w:pBdr>
        <w:keepLines/>
      </w:pPr>
      <w:r>
        <w:rPr>
          <w:b/>
        </w:rPr>
        <w:t xml:space="preserve">DRAFT — DO NOT PUBLISH. </w:t>
      </w:r>
      <w:r>
        <w:t>Replace every square-bracketed field, confirm the legal operator and grievance details, and obtain review by an Indian lawyer before placing this document on the website.</w:t>
      </w:r>
    </w:p>
    <w:p>
      <w:pPr>
        <w:pStyle w:val="LegalMetadata"/>
        <w:keepLines/>
      </w:pPr>
      <w:r>
        <w:rPr>
          <w:b/>
        </w:rPr>
        <w:t xml:space="preserve">Data fiduciary: </w:t>
      </w:r>
      <w:r>
        <w:t>[FULL LEGAL NAME OF OWNER / ENTITY], trading as 360 Performance</w:t>
      </w:r>
    </w:p>
    <w:p>
      <w:pPr>
        <w:pStyle w:val="LegalMetadata"/>
        <w:keepLines/>
      </w:pPr>
      <w:r>
        <w:rPr>
          <w:b/>
        </w:rPr>
        <w:t xml:space="preserve">Registered address: </w:t>
      </w:r>
      <w:r>
        <w:t>[REGISTERED OFFICE / PRINCIPAL BUSINESS ADDRESS]</w:t>
      </w:r>
    </w:p>
    <w:p>
      <w:pPr>
        <w:pStyle w:val="LegalMetadata"/>
        <w:keepLines/>
      </w:pPr>
      <w:r>
        <w:rPr>
          <w:b/>
        </w:rPr>
        <w:t xml:space="preserve">Registration details: </w:t>
      </w:r>
      <w:r>
        <w:t>[CIN / LLPIN / GSTIN / OTHER REGISTRATION, AS APPLICABLE]</w:t>
      </w:r>
    </w:p>
    <w:p>
      <w:pPr>
        <w:pStyle w:val="LegalMetadata"/>
        <w:keepLines/>
      </w:pPr>
      <w:r>
        <w:rPr>
          <w:b/>
        </w:rPr>
        <w:t xml:space="preserve">Privacy contact: </w:t>
      </w:r>
      <w:r>
        <w:t>[PRIVACY / GRIEVANCE EMAIL]</w:t>
      </w:r>
    </w:p>
    <w:p>
      <w:pPr>
        <w:pStyle w:val="LegalMetadata"/>
        <w:keepLines/>
      </w:pPr>
      <w:r>
        <w:rPr>
          <w:b/>
        </w:rPr>
        <w:t xml:space="preserve">General support: </w:t>
      </w:r>
      <w:r>
        <w:t>support@360performance.in</w:t>
      </w:r>
    </w:p>
    <w:p>
      <w:pPr>
        <w:pStyle w:val="Heading1"/>
        <w:keepLines/>
        <w:keepNext/>
      </w:pPr>
      <w:r>
        <w:t>1. Scope</w:t>
      </w:r>
    </w:p>
    <w:p>
      <w:pPr>
        <w:keepLines/>
      </w:pPr>
      <w:r>
        <w:t>This Policy explains how the legal operator identified above (“360 Performance”, “we”, “us” or “our”) collects, uses, shares, protects and retains personal data when a person visits the website, creates a client or coach account, requests a consultation, purchases a plan, applies as a coach, participates in coach matching, or uses scheduling and group-coaching features.</w:t>
      </w:r>
    </w:p>
    <w:p>
      <w:pPr>
        <w:pStyle w:val="Heading1"/>
        <w:keepLines/>
        <w:keepNext/>
      </w:pPr>
      <w:r>
        <w:t>2. Personal data we collect</w:t>
      </w:r>
    </w:p>
    <w:p>
      <w:pPr>
        <w:keepLines/>
      </w:pPr>
      <w:r>
        <w:t>Account and contact data may include name, username, email address, Indian mobile number, role, profile photo, language, timezone, state, city and district. Authentication data is handled through email/password, username/password or Google sign-in. A submitted username is resolved server-side to the corresponding authentication account. We do not use the mobile number as OTP verification unless a separate feature and notice are introduced.</w:t>
      </w:r>
    </w:p>
    <w:p>
      <w:pPr>
        <w:keepLines/>
      </w:pPr>
      <w:r>
        <w:t>Client assessment data may include age, gender, height, weight, fitness goals and experience, dietary preference, medical-condition and injury information, uploaded health reports, training availability, additional notes and the assessment declaration. Completing the assessment is optional for plan purchase.</w:t>
      </w:r>
    </w:p>
    <w:p>
      <w:pPr>
        <w:keepLines/>
      </w:pPr>
      <w:r>
        <w:t>Coach data may include experience, specialties, languages, coaching mode and location, availability, qualifications, certificate files, application and review status, profile activation periods, assigned-client relationships and activation payment records.</w:t>
      </w:r>
    </w:p>
    <w:p>
      <w:pPr>
        <w:keepLines/>
      </w:pPr>
      <w:r>
        <w:t>Commercial and service data may include plan selection, duration, amount, currency, order and payment references, payment status, refunds and contact details supplied with a refund request; coach requests, selected days and time slot, assignment and switch status; individual and group session dates, times, attendance status and Google Meet links; and group membership. We do not receive or store full card numbers, CVVs, card PINs or UPI PINs; Razorpay and the relevant financial institutions process payment credentials.</w:t>
      </w:r>
    </w:p>
    <w:p>
      <w:pPr>
        <w:keepLines/>
      </w:pPr>
      <w:r>
        <w:t>Consultation data includes the submitted name, mobile number and goal, together with the submission date and any other field clearly shown on the form. Technical data may include authentication/session identifiers, security events, IP address, browser and device information, request logs and necessary cookies or similar storage processed by us or our hosting, authentication and security providers.</w:t>
      </w:r>
    </w:p>
    <w:p>
      <w:pPr>
        <w:pStyle w:val="Heading1"/>
        <w:keepLines/>
        <w:keepNext/>
      </w:pPr>
      <w:r>
        <w:t>3. Why we use personal data</w:t>
      </w:r>
    </w:p>
    <w:p>
      <w:pPr>
        <w:keepLines/>
      </w:pPr>
      <w:r>
        <w:t>We use personal data to create and secure accounts; verify email addresses; complete profiles; display eligible coaches; process plan and activation purchases; match and assign clients and coaches; administer switches, groups, sessions and in-app notices; provide coaching and safety context to an assigned coach; review applications, certificates, consultations and refund requests; prevent fraud and misuse; troubleshoot and improve reliability; communicate support or legal notices; keep required accounting and audit records; and comply with law or lawful requests.</w:t>
      </w:r>
    </w:p>
    <w:p>
      <w:pPr>
        <w:keepLines/>
      </w:pPr>
      <w:r>
        <w:t>Where consent is the applicable basis, the request will describe the purpose and the user may withdraw consent through the available account controls or by contacting us. Withdrawal does not affect earlier lawful processing and may prevent us from providing a feature that requires the data. We may also process data where necessary to perform a user-requested service, meet legal obligations, address security incidents or exercise other uses permitted by applicable law.</w:t>
      </w:r>
    </w:p>
    <w:p>
      <w:pPr>
        <w:pStyle w:val="Heading1"/>
        <w:keepLines/>
        <w:keepNext/>
      </w:pPr>
      <w:r>
        <w:t>4. Health and assessment information</w:t>
      </w:r>
    </w:p>
    <w:p>
      <w:pPr>
        <w:keepLines/>
      </w:pPr>
      <w:r>
        <w:t>Health and injury information is provided voluntarily for safer, more personalized coaching. It is available only to the client, authorized administrators and the client’s currently assigned coach where needed for service delivery. A coach considering a direct request or Open Coach Pool opportunity sees limited matching information and does not receive private contact details, health reports or detailed assessment data before assignment.</w:t>
      </w:r>
    </w:p>
    <w:p>
      <w:pPr>
        <w:keepLines/>
      </w:pPr>
      <w:r>
        <w:t>Users should upload only relevant documents and should remove information about other people unless authorized to provide it. The Platform is not an emergency or medical-record service.</w:t>
      </w:r>
    </w:p>
    <w:p>
      <w:pPr>
        <w:pStyle w:val="Heading1"/>
        <w:keepLines/>
        <w:keepNext/>
      </w:pPr>
      <w:r>
        <w:t>5. Who receives personal data</w:t>
      </w:r>
    </w:p>
    <w:p>
      <w:pPr>
        <w:keepLines/>
      </w:pPr>
      <w:r>
        <w:t>We may disclose data to the assigned coach to deliver the purchased service; to authorized administrators for operations, safety, application review and support; and to service providers acting for defined purposes. Current categories include Supabase for authentication, database and file storage; Vercel for hosting and delivery; Razorpay for payment processing; Google for OAuth and meeting services; and the configured email-delivery provider for account and service emails.</w:t>
      </w:r>
    </w:p>
    <w:p>
      <w:pPr>
        <w:keepLines/>
      </w:pPr>
      <w:r>
        <w:t>We may also disclose information when required by law, court order or a competent authority; to investigate fraud, security or threats to safety; or as part of a genuine business transfer subject to appropriate protections. We do not sell or rent personal data. Group clients do not receive other group members’ private contact, health or profile information.</w:t>
      </w:r>
    </w:p>
    <w:p>
      <w:pPr>
        <w:pStyle w:val="Heading1"/>
        <w:keepLines/>
        <w:keepNext/>
      </w:pPr>
      <w:r>
        <w:t>6. Public and account-visible information</w:t>
      </w:r>
    </w:p>
    <w:p>
      <w:pPr>
        <w:keepLines/>
      </w:pPr>
      <w:r>
        <w:t>Coach names, usernames and approved public-profile information—such as coaching mode, service location, qualifications and availability—may be shown to signed-in clients for coach selection. Client names and limited matching information may be shown to eligible coaches during a direct request or the Open Coach Pool. Broader client information becomes available only after assignment or to an administrator, according to role-based access rules.</w:t>
      </w:r>
    </w:p>
    <w:p>
      <w:pPr>
        <w:pStyle w:val="Heading1"/>
        <w:keepLines/>
        <w:keepNext/>
      </w:pPr>
      <w:r>
        <w:t>7. International processing</w:t>
      </w:r>
    </w:p>
    <w:p>
      <w:pPr>
        <w:keepLines/>
      </w:pPr>
      <w:r>
        <w:t>Our service providers may process or store personal data in India or other countries where they operate. When cross-border processing occurs, we use providers and safeguards appropriate to the service and comply with any applicable transfer restriction. Provider locations and sub-processors may change over time.</w:t>
      </w:r>
    </w:p>
    <w:p>
      <w:pPr>
        <w:pStyle w:val="Heading1"/>
        <w:keepLines/>
        <w:keepNext/>
      </w:pPr>
      <w:r>
        <w:t>8. Retention and deletion</w:t>
      </w:r>
    </w:p>
    <w:p>
      <w:pPr>
        <w:keepLines/>
      </w:pPr>
      <w:r>
        <w:t>We retain personal data only for as long as reasonably necessary for the purpose described, account operation, active coaching relationships, safety, payment and tax records, fraud prevention, audit, dispute resolution and legal compliance. Retention length therefore varies by record type. When data is no longer needed, we delete, anonymize or securely isolate it, subject to backups and legal holds.</w:t>
      </w:r>
    </w:p>
    <w:p>
      <w:pPr>
        <w:keepLines/>
      </w:pPr>
      <w:r>
        <w:t>A user may request account deletion, but we may retain limited transaction, refund, audit, security and dispute records where law or legitimate operational needs permit. Ending an account does not automatically erase records that must be preserved or information already lawfully shared with an independent payment provider.</w:t>
      </w:r>
    </w:p>
    <w:p>
      <w:pPr>
        <w:pStyle w:val="Heading1"/>
        <w:keepLines/>
        <w:keepNext/>
      </w:pPr>
      <w:r>
        <w:t>9. Security</w:t>
      </w:r>
    </w:p>
    <w:p>
      <w:pPr>
        <w:keepLines/>
      </w:pPr>
      <w:r>
        <w:t>We use reasonable administrative, technical and access-control measures designed to protect personal data, including authentication, role-based authorization and restricted file access. No online system is completely secure. Users must protect their credentials, use a secure device, avoid sharing passwords or OTPs, and promptly report suspected misuse. Where applicable law requires notice of a personal-data breach, we will provide it through the required channels.</w:t>
      </w:r>
    </w:p>
    <w:p>
      <w:pPr>
        <w:pStyle w:val="Heading1"/>
        <w:keepLines/>
        <w:keepNext/>
      </w:pPr>
      <w:r>
        <w:t>10. Cookies and similar storage</w:t>
      </w:r>
    </w:p>
    <w:p>
      <w:pPr>
        <w:keepLines/>
      </w:pPr>
      <w:r>
        <w:t>The Platform uses cookies or browser storage that are necessary for authentication, security, session continuity and core operation. If optional analytics, advertising or non-essential cookies are introduced, this Policy and any required consent controls must be updated before they are used.</w:t>
      </w:r>
    </w:p>
    <w:p>
      <w:pPr>
        <w:pStyle w:val="Heading1"/>
        <w:keepLines/>
        <w:keepNext/>
      </w:pPr>
      <w:r>
        <w:t>11. User choices and rights</w:t>
      </w:r>
    </w:p>
    <w:p>
      <w:pPr>
        <w:keepLines/>
      </w:pPr>
      <w:r>
        <w:t>Subject to applicable law, a user may ask for a summary of personal data being processed and relevant sharing information; request correction, completion or updating; request erasure where retention is no longer required; withdraw consent where processing depends on consent; nominate another individual to exercise rights in circumstances recognized by law; and raise a grievance. We may need to verify identity before acting and may refuse or limit a request where law permits or requires retention.</w:t>
      </w:r>
    </w:p>
    <w:p>
      <w:pPr>
        <w:keepLines/>
      </w:pPr>
      <w:r>
        <w:t>To exercise a privacy right, contact [PRIVACY / GRIEVANCE EMAIL] from the registered email address and describe the request. If the grievance is not resolved through our process, the user may use any complaint or appeal route available under applicable data-protection or consumer law.</w:t>
      </w:r>
    </w:p>
    <w:p>
      <w:pPr>
        <w:pStyle w:val="Heading1"/>
        <w:keepLines/>
        <w:keepNext/>
      </w:pPr>
      <w:r>
        <w:t>12. Children</w:t>
      </w:r>
    </w:p>
    <w:p>
      <w:pPr>
        <w:keepLines/>
      </w:pPr>
      <w:r>
        <w:t>The Platform is intended for adults aged 18 or older and is not designed to knowingly collect personal data from children. If we learn that a child’s data was collected without legally valid parental or guardian authorization, we will take appropriate steps to restrict or delete it, subject to legal retention duties. A parent or guardian may contact the grievance officer.</w:t>
      </w:r>
    </w:p>
    <w:p>
      <w:pPr>
        <w:pStyle w:val="Heading1"/>
        <w:keepLines/>
        <w:keepNext/>
      </w:pPr>
      <w:r>
        <w:t>13. Changes to this Policy</w:t>
      </w:r>
    </w:p>
    <w:p>
      <w:pPr>
        <w:keepLines/>
      </w:pPr>
      <w:r>
        <w:t>We may update this Policy to reflect legal, security, provider or service changes. The current version and effective date will be posted on the Platform. We will provide additional notice or obtain fresh consent where required by law.</w:t>
      </w:r>
    </w:p>
    <w:p>
      <w:pPr>
        <w:pStyle w:val="Heading1"/>
        <w:keepLines/>
        <w:keepNext/>
      </w:pPr>
      <w:r>
        <w:t>14. Contact and grievances</w:t>
      </w:r>
    </w:p>
    <w:p>
      <w:pPr>
        <w:keepLines/>
      </w:pPr>
      <w:r>
        <w:t>Data fiduciary: [FULL LEGAL NAME]. Privacy / grievance contact: [NAME AND DESIGNATION], [EMAIL], [PHONE], [POSTAL ADDRESS]. General support: support@360performance.in. Please do not send passwords, card PINs, CVVs or OTPs in a privacy or support request.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586577"/>
        <w:sz w:val="16"/>
      </w:rPr>
      <w:t xml:space="preserve">DRAFT  •  Page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586577"/>
        <w:sz w:val="16"/>
      </w:rPr>
      <w:t>360 PERFORMANCE  |  DRAFT LEGAL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Title">
    <w:name w:val="Legal Title"/>
    <w:pPr>
      <w:keepNext/>
      <w:spacing w:before="0" w:after="160"/>
    </w:pPr>
    <w:rPr>
      <w:rFonts w:ascii="Calibri" w:hAnsi="Calibri"/>
      <w:b/>
      <w:color w:val="0B2545"/>
      <w:sz w:val="48"/>
    </w:rPr>
  </w:style>
  <w:style w:type="paragraph" w:customStyle="1" w:styleId="LegalSubtitle">
    <w:name w:val="Legal Subtitle"/>
    <w:pPr>
      <w:spacing w:before="0" w:after="240"/>
    </w:pPr>
    <w:rPr>
      <w:rFonts w:ascii="Calibri" w:hAnsi="Calibri"/>
      <w:color w:val="586577"/>
      <w:sz w:val="22"/>
    </w:rPr>
  </w:style>
  <w:style w:type="paragraph" w:customStyle="1" w:styleId="DraftNotice">
    <w:name w:val="Draft Notice"/>
    <w:pPr>
      <w:spacing w:before="120" w:after="240" w:line="276" w:lineRule="auto"/>
      <w:ind w:left="173" w:right="173"/>
    </w:pPr>
    <w:rPr>
      <w:rFonts w:ascii="Calibri" w:hAnsi="Calibri"/>
      <w:color w:val="7A5A00"/>
      <w:sz w:val="20"/>
    </w:rPr>
  </w:style>
  <w:style w:type="paragraph" w:customStyle="1" w:styleId="LegalMetadata">
    <w:name w:val="Legal Metadata"/>
    <w:pPr>
      <w:spacing w:before="0" w:after="60" w:line="276" w:lineRule="auto"/>
      <w:ind w:left="173" w:right="173"/>
    </w:pPr>
    <w:rPr>
      <w:rFonts w:ascii="Calibri" w:hAnsi="Calibri"/>
      <w:color w:val="111827"/>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360 Performance Privacy Policy — Draft</dc:title>
  <dc:subject>Product-accurate privacy draft pending operator details and counsel review</dc:subject>
  <dc:creator>360 Performance</dc:creator>
  <cp:keywords/>
  <dc:description>generated by python-docx</dc:description>
  <cp:lastModifiedBy/>
  <cp:revision>1</cp:revision>
  <dcterms:created xsi:type="dcterms:W3CDTF">2013-12-23T23:15:00Z</dcterms:created>
  <dcterms:modified xsi:type="dcterms:W3CDTF">2013-12-23T23:15:00Z</dcterms:modified>
  <cp:category/>
</cp:coreProperties>
</file>