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4.png" ContentType="image/png"/>
  <Override PartName="/word/media/rId21.png" ContentType="image/png"/>
  <Override PartName="/word/media/rId31.png" ContentType="image/png"/>
  <Override PartName="/word/media/rId34.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Chaoyuan Yang, Gerrit Lohmann</w:t>
      </w:r>
    </w:p>
    <w:p>
      <w:pPr>
        <w:pStyle w:val="BodyText"/>
      </w:pPr>
      <w:r>
        <w:rPr>
          <w:color w:val="0000CC"/>
          <w:bCs/>
          <w:b/>
        </w:rPr>
        <w:t xml:space="preserve">We thank the editor and the four reviewers for the care they have taken with this manuscript. The reports are detailed and constructive, and several of them identify a problem that we had handled too lightly in the submitted version, namely the disagreement between our pre-industrial result and observation-based transformation estimates for the modern Southern Ocean. We took that criticism seriously and spent most of the revision on it. Rather than defend the original one-sentence explanation, we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as 42.7% of the area we integrated over lies outside the winter sea ice edge and is therefore water that Pellichero et al. did not include. The second is the density range. Resolving the transformation by density class over the sea ice zone alone shows that our pre-industrial state is not uniformly thermally driven. Only one class is thermally dominated, the band around σ</w:t>
      </w:r>
      <w:r>
        <w:rPr>
          <w:color w:val="0000CC"/>
          <w:vertAlign w:val="subscript"/>
          <w:bCs/>
          <w:b/>
        </w:rPr>
        <w:t xml:space="preserve">2</w:t>
      </w:r>
      <w:r>
        <w:rPr>
          <w:color w:val="0000CC"/>
          <w:bCs/>
          <w:b/>
        </w:rPr>
        <w:t xml:space="preserve"> </w:t>
      </w:r>
      <w:r>
        <w:rPr>
          <w:color w:val="0000CC"/>
          <w:bCs/>
          <w:b/>
        </w:rPr>
        <w:t xml:space="preserve">36.75 to 37.00 where heat contributes 70% of the transformation. Every denser class is haline dominated, with the sea ice term supplying 93% of the transformation above σ</w:t>
      </w:r>
      <w:r>
        <w:rPr>
          <w:color w:val="0000CC"/>
          <w:vertAlign w:val="subscript"/>
          <w:bCs/>
          <w:b/>
        </w:rPr>
        <w:t xml:space="preserve">2</w:t>
      </w:r>
      <w:r>
        <w:rPr>
          <w:color w:val="0000CC"/>
          <w:bCs/>
          <w:b/>
        </w:rPr>
        <w:t xml:space="preserve"> </w:t>
      </w:r>
      <w:r>
        <w:rPr>
          <w:color w:val="0000CC"/>
          <w:bCs/>
          <w:b/>
        </w:rPr>
        <w:t xml:space="preserve">37.00, and the lightest classes are dominated by the remaining freshwater terms. The thermal signature that drew the reviewers' attention is therefore confined to a narrow band at intermediate and mode water densities, and it sits lighter than the bottom water cell that Pellichero et al. describe.</w:t>
      </w:r>
    </w:p>
    <w:p>
      <w:pPr>
        <w:pStyle w:val="BodyText"/>
      </w:pPr>
      <w:r>
        <w:rPr>
          <w:color w:val="0000CC"/>
          <w:bCs/>
          <w:b/>
        </w:rPr>
        <w:t xml:space="preserve">The glacial states leave no such ambiguity. Every density class in the Last Glacial Maximum and Marine Isotope Stage 3 is haline dominated, with thermal shares between 4% and 28% and sea ice alone accounting for most of the transformation in the dense classes. The shift from a partly thermal interglacial to an unambiguously haline glacial is visible class by class rather than only in the integrated totals, which is the result the paper rests on.</w:t>
      </w:r>
    </w:p>
    <w:p>
      <w:pPr>
        <w:pStyle w:val="BodyText"/>
      </w:pPr>
      <w:r>
        <w:rPr>
          <w:color w:val="0000CC"/>
          <w:bCs/>
          <w:b/>
        </w:rPr>
        <w:t xml:space="preserve">A residual discrepancy remains after both effects are accounted for. Our pre-industrial Southern Ocean is too warm and too fresh near Antarctica, a bias shared by most coupled models, and our dense water forms by open-ocean convection in the Weddell gyre rather than by dense shelf water overflow. Both push the transformation toward lighter and more exposed water than the observations sample. We now state this plainly and quantify it. What the paper claims, however, is the relative change between climate states rather than the absolute densities, and a bias that is present in every simulation cannot generate the glacial to interglacial contrast between them. On that basis we consider the regime shift robust, and we have bounded the rest of our claims accordingly.</w:t>
      </w:r>
    </w:p>
    <w:p>
      <w:pPr>
        <w:pStyle w:val="BodyText"/>
      </w:pPr>
      <w:r>
        <w:rPr>
          <w:color w:val="0000CC"/>
          <w:bCs/>
          <w:b/>
        </w:rPr>
        <w:t xml:space="preserve">directly, ideal age throughout the global ocean, and a fuller treatment of the Southern Annular Mode; discussed the study by Chen et al. (2025) that Reviewer 2 noted;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conveniently.</w:t>
      </w:r>
    </w:p>
    <w:p>
      <w:pPr>
        <w:pStyle w:val="BodyText"/>
      </w:pPr>
      <w:r>
        <w:rPr>
          <w:color w:val="0000CC"/>
          <w:bCs/>
          <w:b/>
        </w:rPr>
        <w:t xml:space="preserve">Reviewer comments are reproduced in full below in black, each followed by our response in blue; text quoted from the revised manuscript is given in blue italics. Line numbers in our responses refer to the revised manuscript unless stated otherwise. All changes are marked in the accompanying tracked-changes file.</w:t>
      </w:r>
    </w:p>
    <w:p>
      <w:pPr>
        <w:pStyle w:val="BodyText"/>
      </w:pPr>
      <w:r>
        <w:rPr>
          <w:color w:val="0000CC"/>
          <w:iCs/>
          <w:i/>
          <w:bCs/>
          <w:b/>
        </w:rPr>
        <w:t xml:space="preserve">Draft covering Reviewer 1 only. The replies to Reviewers 2 and 3 are unchanged from the previous version and are not reproduced here, pending Jiping's review.</w:t>
      </w:r>
    </w:p>
    <w:bookmarkEnd w:id="20"/>
    <w:bookmarkStart w:id="44" w:name="reviewer-1"/>
    <w:p>
      <w:pPr>
        <w:pStyle w:val="Heading1"/>
      </w:pPr>
      <w:r>
        <w:t xml:space="preserve">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this assessment and for the unusually thorough list of specific comments, which has improved the presentation considerably.</w:t>
      </w:r>
    </w:p>
    <w:bookmarkStart w:id="30" w:name="general-comments"/>
    <w:p>
      <w:pPr>
        <w:pStyle w:val="Heading2"/>
      </w:pPr>
      <w:r>
        <w:t xml:space="preserve">General comments</w:t>
      </w:r>
    </w:p>
    <w:p>
      <w:pPr>
        <w:pStyle w:val="FirstParagraph"/>
      </w:pPr>
      <w:r>
        <w:t xml:space="preserve">*Model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Authors' response:</w:t>
      </w:r>
    </w:p>
    <w:p>
      <w:pPr>
        <w:pStyle w:val="BodyText"/>
      </w:pPr>
      <w:r>
        <w:rPr>
          <w:color w:val="0000CC"/>
          <w:bCs/>
          <w:b/>
        </w:rPr>
        <w:t xml:space="preserve">We agree, and we have restricted this reply to the pre-industrial simulation, which is what the reviewer asks about. The observational comparison comes first, then the model biases.</w:t>
      </w:r>
    </w:p>
    <w:p>
      <w:pPr>
        <w:pStyle w:val="BodyText"/>
      </w:pPr>
      <w:r>
        <w:rPr>
          <w:color w:val="0000CC"/>
          <w:bCs/>
          <w:b/>
        </w:rPr>
        <w:t xml:space="preserve">The reviewer is right that Figure A4 showed only model curves. We now place our pre-industrial transformation beside the observation-based estimate of Pellichero et al. (2018), computed over the same domain and the same season as theirs.</w:t>
      </w:r>
    </w:p>
    <w:p>
      <w:pPr>
        <w:pStyle w:val="BodyText"/>
      </w:pPr>
      <w:r>
        <w:rPr>
          <w:color w:val="0000CC"/>
          <w:bCs/>
          <w:b/>
        </w:rPr>
        <w:t xml:space="preserve">Pellichero et al. (2018) derived an observation-based estimate of the overturning sustained by surface buoyancy fluxes in the Southern Ocean sea ice sector. We compare against them because their sector, the region enclosed by the September 15 per cent sea ice contour, is the part of our domain where the comparison is meaningful, and because theirs is the estimate most often set against model results of this kind. To match them we recomputed our transformation over that sector, reproducing their domain to within 2.5 per cent in area, and took the annual mean rather than the austral winter mean used elsewhere in the paper.</w:t>
      </w:r>
    </w:p>
    <w:p>
      <w:pPr>
        <w:pStyle w:val="BodyText"/>
      </w:pPr>
      <w:r>
        <w:drawing>
          <wp:inline>
            <wp:extent cx="5334000" cy="1927122"/>
            <wp:effectExtent b="0" l="0" r="0" t="0"/>
            <wp:docPr descr="" title="" id="22" name="Picture"/>
            <a:graphic>
              <a:graphicData uri="http://schemas.openxmlformats.org/drawingml/2006/picture">
                <pic:pic>
                  <pic:nvPicPr>
                    <pic:cNvPr descr="/work/ba1066/a270064/cc_projects/aabw_5exps/nc_paper/SUBMISSION/letter_figs/figR16_pi_vs_pellichero.png" id="23" name="Picture"/>
                    <pic:cNvPicPr>
                      <a:picLocks noChangeArrowheads="1" noChangeAspect="1"/>
                    </pic:cNvPicPr>
                  </pic:nvPicPr>
                  <pic:blipFill>
                    <a:blip r:embed="rId21"/>
                    <a:stretch>
                      <a:fillRect/>
                    </a:stretch>
                  </pic:blipFill>
                  <pic:spPr bwMode="auto">
                    <a:xfrm>
                      <a:off x="0" y="0"/>
                      <a:ext cx="5334000" cy="1927122"/>
                    </a:xfrm>
                    <a:prstGeom prst="rect">
                      <a:avLst/>
                    </a:prstGeom>
                    <a:noFill/>
                    <a:ln w="9525">
                      <a:noFill/>
                      <a:headEnd/>
                      <a:tailEnd/>
                    </a:ln>
                  </pic:spPr>
                </pic:pic>
              </a:graphicData>
            </a:graphic>
          </wp:inline>
        </w:drawing>
      </w:r>
    </w:p>
    <w:p>
      <w:pPr>
        <w:pStyle w:val="BodyText"/>
      </w:pPr>
      <w:r>
        <w:rPr>
          <w:bCs/>
          <w:b/>
          <w:iCs/>
          <w:i/>
        </w:rPr>
        <w:t xml:space="preserve">Figure R1.1 (new analysis).</w:t>
      </w:r>
      <w:r>
        <w:rPr>
          <w:iCs/>
          <w:i/>
        </w:rPr>
        <w:t xml:space="preserve"> </w:t>
      </w:r>
      <w:r>
        <w:rPr>
          <w:iCs/>
          <w:i/>
        </w:rPr>
        <w:t xml:space="preserve">(a) Simulated pre-industrial transformation in the seasonal sea ice zone, annual mean, decomposed into the heat and freshwater contributions. (b) The observational estimate of Pellichero et al. (2018), their Fig. 3a, reproduced for comparison. The density axes differ deliberately: ours is potential density σ</w:t>
      </w:r>
      <w:r>
        <w:rPr>
          <w:vertAlign w:val="subscript"/>
          <w:iCs/>
          <w:i/>
        </w:rPr>
        <w:t xml:space="preserve">2</w:t>
      </w:r>
      <w:r>
        <w:rPr>
          <w:iCs/>
          <w:i/>
        </w:rPr>
        <w:t xml:space="preserve">, theirs neutral density γ. Our simulated surface water is lighter than observed, so plotting both on one axis would imply a point-by-point correspondence that does not exist.</w:t>
      </w:r>
    </w:p>
    <w:p>
      <w:pPr>
        <w:pStyle w:val="BodyText"/>
      </w:pPr>
      <w:r>
        <w:rPr>
          <w:color w:val="0000CC"/>
          <w:bCs/>
          <w:b/>
        </w:rPr>
        <w:t xml:space="preserve">The two curves share their structure. Both show buoyancy gain at the lighter classes, a zero crossing, and densification at the heavier classes, with the freshwater term carrying the light end and both curves converging towards zero at the dense end. In our pre-industrial state the transformation reaches a minimum of -9.2 Sv, crosses zero, and peaks at +6.6 Sv; Pellichero et al. report a minimum near -22 Sv and a densification peak of 5 plus or minus 5 Sv. The sign structure and the order of magnitude of the densification branch therefore agree, which is the comparison the reviewer asks for.</w:t>
      </w:r>
    </w:p>
    <w:p>
      <w:pPr>
        <w:pStyle w:val="BodyText"/>
      </w:pPr>
      <w:r>
        <w:rPr>
          <w:color w:val="0000CC"/>
          <w:bCs/>
          <w:b/>
        </w:rPr>
        <w:t xml:space="preserve">Two differences are real and we state them rather than smoothing them over. Our light-end buoyancy gain is weaker than theirs, and our whole curve sits at lighter densities, because the simulated Southern Ocean surface is fresher than observed. Both follow from the same bias, which we quantify under model limitations below.</w:t>
      </w:r>
    </w:p>
    <w:p>
      <w:pPr>
        <w:pStyle w:val="BodyText"/>
      </w:pPr>
      <w:r>
        <w:rPr>
          <w:color w:val="0000CC"/>
          <w:bCs/>
          <w:b/>
        </w:rPr>
        <w:t xml:space="preserve">The reviewer, and Reviewer 3, also asked whether we could compute an observational transformation ourselves from a reanalysis rather than citing a published one. We examined this and it is not feasible, for three reasons.</w:t>
      </w:r>
    </w:p>
    <w:p>
      <w:pPr>
        <w:pStyle w:val="BodyText"/>
      </w:pPr>
      <w:r>
        <w:rPr>
          <w:color w:val="0000CC"/>
          <w:bCs/>
          <w:b/>
        </w:rPr>
        <w:t xml:space="preserve">First, the data do not exist. A transformation budget needs the net surface heat flux, the net surface freshwater flux, and the sea ice thermodynamic salt flux. We checked the Copernicus ocean reanalyses, namely GLORYS12, the GREP ensemble and the analysis-forecast product, which carry temperature, salinity, velocity and sea ice state but no surface flux fields at all. ORAS5 does carry a net downward heat flux and a net upward water flux, but we tested its water flux inside the September ice zone and found no freezing signal: at peak freezing it is -1.2e-5 kg m-2 s-1 against -1.6e-5 at peak melt, so the field is evaporation minus precipitation minus runoff and excludes the sea ice term. The sea ice contribution is precisely the term that decides the question at issue, and no reanalysis we could find supplies it.</w:t>
      </w:r>
    </w:p>
    <w:p>
      <w:pPr>
        <w:pStyle w:val="BodyText"/>
      </w:pPr>
      <w:r>
        <w:rPr>
          <w:color w:val="0000CC"/>
          <w:iCs/>
          <w:i/>
          <w:bCs/>
          <w:b/>
        </w:rPr>
        <w:t xml:space="preserve">Second, Pellichero et al. themselves reject that approach for this region. They write that ocean buoyancy fluxes are commonly obtained from atmospheric reanalysis datasets, but that "in the Southern Ocean such reanalysis products are poorly constrained, and essentially unusable in the seasonally sea-ice covered region." Rather than use one, they solve the mixed layer heat and salt budgets for the surface fluxes as the unknown, using the observed seasonal cycle of mixed layer temperature, salinity and depth together with Ekman and geostrophic advection and entrainment. The hydrography comes from Argo floats, ship-based observations and instrumented marine mammals, the only platform that samples under winter sea ice; the ice edge comes from SMMR and SSM/I passive microwave data for 2000-2015, and the geostrophic term from AVISO mean dynamic topography for 1993-2012. We cannot reproduce that calculation, because it rests on a seal-tag mixed layer database those authors assembled and we do not have. Computing a reanalysis transformation anyway would mean doing the very thing their paper argues cannot be done in this region.</w:t>
      </w:r>
    </w:p>
    <w:p>
      <w:pPr>
        <w:pStyle w:val="BodyText"/>
      </w:pPr>
      <w:r>
        <w:rPr>
          <w:color w:val="0000CC"/>
          <w:bCs/>
          <w:b/>
        </w:rPr>
        <w:t xml:space="preserve">Third, the two quantities are not identical even in principle. What they solve for is the surface flux together with the diapycnal mixing term, because the mixed layer budget cannot separate the two. Our model diagnoses the surface flux alone. Some discrepancy is therefore expected on definitional grounds, before any model bias is considered, and the agreement in shape shown in Figure R1.1 should be read in that light.</w:t>
      </w:r>
    </w:p>
    <w:p>
      <w:pPr>
        <w:pStyle w:val="BodyText"/>
      </w:pPr>
      <w:r>
        <w:rPr>
          <w:color w:val="0000CC"/>
          <w:bCs/>
          <w:b/>
        </w:rPr>
        <w:t xml:space="preserve">We have therefore compared against their published result rather than recomputing one, and we say so in the Discussion.</w:t>
      </w:r>
    </w:p>
    <w:p>
      <w:pPr>
        <w:pStyle w:val="BodyText"/>
      </w:pPr>
      <w:r>
        <w:rPr>
          <w:color w:val="0000CC"/>
          <w:bCs/>
          <w:b/>
        </w:rPr>
        <w:t xml:space="preserve">A separate point is that the published evaluations of this model configuration do not examine the Southern Ocean at all. We checked, and none of them assesses Southern Ocean stratification, mixed layer depth, sea ice or overturning against observations. What they do cover we now summarise in the Methods, with the agreements and the disagreements given equally.</w:t>
      </w:r>
    </w:p>
    <w:p>
      <w:pPr>
        <w:pStyle w:val="BodyText"/>
      </w:pPr>
      <w:r>
        <w:rPr>
          <w:color w:val="0000CC"/>
          <w:bCs/>
          <w:b/>
        </w:rPr>
        <w:t xml:space="preserve">In the revised manuscript the added passage reads:</w:t>
      </w:r>
    </w:p>
    <w:p>
      <w:pPr>
        <w:pStyle w:val="BodyText"/>
      </w:pPr>
      <w:r>
        <w:rPr>
          <w:color w:val="0000CC"/>
          <w:iCs/>
          <w:i/>
          <w:bCs/>
          <w:b/>
        </w:rPr>
        <w:t xml:space="preserve">“Because the balance of agreement and disagreement in those evaluations bears on how far the present results can be trusted, we summarise it here rather than leaving it to be sought in the earlier papers. For the pre-industrial state, Shi et al. (2025) find precipitation in reasonable agreement with the GPCP observations, with local wet biases at the position of the Intertropical Convergence Zone in both solstitial seasons, a bias common to other coupled models. For the interglacials, Shi et al. (2022) compare both generations of AWI-ESM against the pollen compilation of Bartlein et al. and the multi-archive compilation of Turney and Jones. The model reproduces the mid-Holocene warming over western Europe and the north-south dipole of the temperature anomaly over eastern North America, and it captures the sign and magnitude of the wetting over the southern Sahara and South Asia. It disagrees with the proxies over North Africa, where the simulated mid-Holocene is cooler than the pre-industrial while the reconstructions show warming, and it underestimates the mid-Holocene wetting over the northern Sahara. For the last interglacial the simulated Northern Hemisphere warming and the tropical and North African cooling both match the records, but the Antarctic warming that the proxies show is absent, which Shi et al. (2022) attribute to the PMIP4 protocol holding the last interglacial ice sheet orography fixed at its pre-industrial configuration. For the glacial states, Shi et al. (2023) document the Last Glacial Maximum configuration against the Bartlein pollen compilation and MARGO sea surface temperatures, and Shi et al. (2025) find that model and proxies agree on the pronounced drying over most Northern Hemisphere continents at the Last Glacial Maximum, while for Marine Isotope Stage 3 no comprehensive precipitation compilation exists and the comparison rests on individual sites. Across all four paleoclimate states the simulated anomalies are consistent with the PMIP4 ensemble. We note that none of these evaluations examines Southern Ocean hydrography, sea ice or overturning against observations, so they constrain the large-scale climate response of the model rather than the specific fields on which the present analysis depends.”</w:t>
      </w:r>
    </w:p>
    <w:p>
      <w:pPr>
        <w:pStyle w:val="BodyText"/>
      </w:pPr>
      <w:r>
        <w:rPr>
          <w:color w:val="0000CC"/>
          <w:bCs/>
          <w:b/>
        </w:rPr>
        <w:t xml:space="preserve">Because the Southern Ocean is left unevaluated in that literature, the diagnosis of open-ocean convection reported here is our own, from our own output, and we label it as such rather than attributing it to a published evaluation.</w:t>
      </w:r>
    </w:p>
    <w:p>
      <w:pPr>
        <w:pStyle w:val="BodyText"/>
      </w:pPr>
      <w:r>
        <w:t xml:space="preserve">*Boundary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w:t>
      </w:r>
    </w:p>
    <w:p>
      <w:pPr>
        <w:pStyle w:val="BodyText"/>
      </w:pPr>
      <w:r>
        <w:rPr>
          <w:color w:val="0000CC"/>
          <w:bCs/>
          <w:b/>
        </w:rPr>
        <w:t xml:space="preserve">Added, and we reproduce both the table and the expanded text here so the reviewer does not have to open the manuscript to check them. Table 1 lists the greenhouse gas concentrations, orbital parameters and ice sheet configuration for all five experiments, and the values are those actually used in the runs rather than the protocol defaults.</w:t>
      </w:r>
    </w:p>
    <w:p>
      <w:pPr>
        <w:pStyle w:val="BodyText"/>
      </w:pPr>
      <w:r>
        <w:t xml:space="preserve">center</w:t>
      </w:r>
    </w:p>
    <w:tbl>
      <w:tblPr>
        <w:tblStyle w:val="Table"/>
        <w:tblW w:type="auto" w:w="0"/>
        <w:tblLook w:firstRow="0" w:lastRow="0" w:firstColumn="0" w:lastColumn="0" w:noHBand="0" w:noVBand="0" w:val="0000"/>
        <w:jc w:val="start"/>
      </w:tblPr>
      <w:tblGrid>
        <w:gridCol w:w="990"/>
        <w:gridCol w:w="990"/>
        <w:gridCol w:w="990"/>
        <w:gridCol w:w="990"/>
        <w:gridCol w:w="990"/>
        <w:gridCol w:w="990"/>
        <w:gridCol w:w="990"/>
        <w:gridCol w:w="990"/>
      </w:tblGrid>
      <w:tr>
        <w:tc>
          <w:tcPr/>
          <w:p>
            <w:pPr>
              <w:pStyle w:val="Compact"/>
            </w:pPr>
          </w:p>
        </w:tc>
        <w:tc>
          <w:tcPr/>
          <w:p>
            <w:pPr>
              <w:pStyle w:val="Compact"/>
              <w:jc w:val="left"/>
            </w:pPr>
            <w:r>
              <w:t xml:space="preserve">CO</w:t>
            </w:r>
            <w:r>
              <w:rPr>
                <w:vertAlign w:val="subscript"/>
              </w:rPr>
              <w:t xml:space="preserve">2</w:t>
            </w:r>
            <w:r>
              <w:t xml:space="preserve"> </w:t>
            </w:r>
            <w:r>
              <w:t xml:space="preserve">(ppm)</w:t>
            </w:r>
          </w:p>
        </w:tc>
        <w:tc>
          <w:tcPr/>
          <w:p>
            <w:pPr>
              <w:pStyle w:val="Compact"/>
              <w:jc w:val="left"/>
            </w:pPr>
            <w:r>
              <w:t xml:space="preserve">CH</w:t>
            </w:r>
            <w:r>
              <w:rPr>
                <w:vertAlign w:val="subscript"/>
              </w:rPr>
              <w:t xml:space="preserve">4</w:t>
            </w:r>
            <w:r>
              <w:t xml:space="preserve"> </w:t>
            </w:r>
            <w:r>
              <w:t xml:space="preserve">(ppb)</w:t>
            </w:r>
          </w:p>
        </w:tc>
        <w:tc>
          <w:tcPr/>
          <w:p>
            <w:pPr>
              <w:pStyle w:val="Compact"/>
              <w:jc w:val="left"/>
            </w:pPr>
            <w:r>
              <w:t xml:space="preserve">N</w:t>
            </w:r>
            <w:r>
              <w:rPr>
                <w:vertAlign w:val="subscript"/>
              </w:rPr>
              <w:t xml:space="preserve">2</w:t>
            </w:r>
            <w:r>
              <w:t xml:space="preserve">O (ppb)</w:t>
            </w:r>
          </w:p>
        </w:tc>
        <w:tc>
          <w:tcPr/>
          <w:p>
            <w:pPr>
              <w:pStyle w:val="Compact"/>
              <w:jc w:val="left"/>
            </w:pPr>
            <w:r>
              <w:t xml:space="preserve">Eccentricity</w:t>
            </w:r>
          </w:p>
        </w:tc>
        <w:tc>
          <w:tcPr/>
          <w:p>
            <w:pPr>
              <w:pStyle w:val="Compact"/>
              <w:jc w:val="left"/>
            </w:pPr>
            <w:r>
              <w:t xml:space="preserve">Obliquity (°)</w:t>
            </w:r>
          </w:p>
        </w:tc>
        <w:tc>
          <w:tcPr/>
          <w:p>
            <w:pPr>
              <w:pStyle w:val="Compact"/>
              <w:jc w:val="left"/>
            </w:pPr>
            <w:r>
              <w:t xml:space="preserve">Perihelion (°)</w:t>
            </w:r>
          </w:p>
        </w:tc>
        <w:tc>
          <w:tcPr/>
          <w:p>
            <w:pPr>
              <w:pStyle w:val="Compact"/>
              <w:jc w:val="left"/>
            </w:pPr>
            <w:r>
              <w:t xml:space="preserve">Ice sheet / bathymetry</w:t>
            </w:r>
          </w:p>
        </w:tc>
      </w:tr>
      <w:tr>
        <w:tc>
          <w:tcPr/>
          <w:p>
            <w:pPr>
              <w:pStyle w:val="Compact"/>
              <w:jc w:val="left"/>
            </w:pPr>
            <w:r>
              <w:t xml:space="preserve">PI</w:t>
            </w:r>
          </w:p>
        </w:tc>
        <w:tc>
          <w:tcPr/>
          <w:p>
            <w:pPr>
              <w:pStyle w:val="Compact"/>
              <w:jc w:val="left"/>
            </w:pPr>
            <w:r>
              <w:t xml:space="preserve">284.3</w:t>
            </w:r>
          </w:p>
        </w:tc>
        <w:tc>
          <w:tcPr/>
          <w:p>
            <w:pPr>
              <w:pStyle w:val="Compact"/>
              <w:jc w:val="left"/>
            </w:pPr>
            <w:r>
              <w:t xml:space="preserve">808.2</w:t>
            </w:r>
          </w:p>
        </w:tc>
        <w:tc>
          <w:tcPr/>
          <w:p>
            <w:pPr>
              <w:pStyle w:val="Compact"/>
              <w:jc w:val="left"/>
            </w:pPr>
            <w:r>
              <w:t xml:space="preserve">273.0</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modern</w:t>
            </w:r>
          </w:p>
        </w:tc>
      </w:tr>
      <w:tr>
        <w:tc>
          <w:tcPr/>
          <w:p>
            <w:pPr>
              <w:pStyle w:val="Compact"/>
              <w:jc w:val="left"/>
            </w:pPr>
            <w:r>
              <w:t xml:space="preserve">MH</w:t>
            </w:r>
          </w:p>
        </w:tc>
        <w:tc>
          <w:tcPr/>
          <w:p>
            <w:pPr>
              <w:pStyle w:val="Compact"/>
              <w:jc w:val="left"/>
            </w:pPr>
            <w:r>
              <w:t xml:space="preserve">264.4</w:t>
            </w:r>
          </w:p>
        </w:tc>
        <w:tc>
          <w:tcPr/>
          <w:p>
            <w:pPr>
              <w:pStyle w:val="Compact"/>
              <w:jc w:val="left"/>
            </w:pPr>
            <w:r>
              <w:t xml:space="preserve">597.0</w:t>
            </w:r>
          </w:p>
        </w:tc>
        <w:tc>
          <w:tcPr/>
          <w:p>
            <w:pPr>
              <w:pStyle w:val="Compact"/>
              <w:jc w:val="left"/>
            </w:pPr>
            <w:r>
              <w:t xml:space="preserve">262.0</w:t>
            </w:r>
          </w:p>
        </w:tc>
        <w:tc>
          <w:tcPr/>
          <w:p>
            <w:pPr>
              <w:pStyle w:val="Compact"/>
              <w:jc w:val="left"/>
            </w:pPr>
            <w:r>
              <w:t xml:space="preserve">0.018682</w:t>
            </w:r>
          </w:p>
        </w:tc>
        <w:tc>
          <w:tcPr/>
          <w:p>
            <w:pPr>
              <w:pStyle w:val="Compact"/>
              <w:jc w:val="left"/>
            </w:pPr>
            <w:r>
              <w:t xml:space="preserve">24.105</w:t>
            </w:r>
          </w:p>
        </w:tc>
        <w:tc>
          <w:tcPr/>
          <w:p>
            <w:pPr>
              <w:pStyle w:val="Compact"/>
              <w:jc w:val="left"/>
            </w:pPr>
            <w:r>
              <w:t xml:space="preserve">180.87</w:t>
            </w:r>
          </w:p>
        </w:tc>
        <w:tc>
          <w:tcPr/>
          <w:p>
            <w:pPr>
              <w:pStyle w:val="Compact"/>
              <w:jc w:val="left"/>
            </w:pPr>
            <w:r>
              <w:t xml:space="preserve">modern</w:t>
            </w:r>
          </w:p>
        </w:tc>
      </w:tr>
      <w:tr>
        <w:tc>
          <w:tcPr/>
          <w:p>
            <w:pPr>
              <w:pStyle w:val="Compact"/>
              <w:jc w:val="left"/>
            </w:pPr>
            <w:r>
              <w:t xml:space="preserve">LIG</w:t>
            </w:r>
          </w:p>
        </w:tc>
        <w:tc>
          <w:tcPr/>
          <w:p>
            <w:pPr>
              <w:pStyle w:val="Compact"/>
              <w:jc w:val="left"/>
            </w:pPr>
            <w:r>
              <w:t xml:space="preserve">275.0</w:t>
            </w:r>
          </w:p>
        </w:tc>
        <w:tc>
          <w:tcPr/>
          <w:p>
            <w:pPr>
              <w:pStyle w:val="Compact"/>
              <w:jc w:val="left"/>
            </w:pPr>
            <w:r>
              <w:t xml:space="preserve">685.0</w:t>
            </w:r>
          </w:p>
        </w:tc>
        <w:tc>
          <w:tcPr/>
          <w:p>
            <w:pPr>
              <w:pStyle w:val="Compact"/>
              <w:jc w:val="left"/>
            </w:pPr>
            <w:r>
              <w:t xml:space="preserve">255.0</w:t>
            </w:r>
          </w:p>
        </w:tc>
        <w:tc>
          <w:tcPr/>
          <w:p>
            <w:pPr>
              <w:pStyle w:val="Compact"/>
              <w:jc w:val="left"/>
            </w:pPr>
            <w:r>
              <w:t xml:space="preserve">0.039378</w:t>
            </w:r>
          </w:p>
        </w:tc>
        <w:tc>
          <w:tcPr/>
          <w:p>
            <w:pPr>
              <w:pStyle w:val="Compact"/>
              <w:jc w:val="left"/>
            </w:pPr>
            <w:r>
              <w:t xml:space="preserve">24.040</w:t>
            </w:r>
          </w:p>
        </w:tc>
        <w:tc>
          <w:tcPr/>
          <w:p>
            <w:pPr>
              <w:pStyle w:val="Compact"/>
              <w:jc w:val="left"/>
            </w:pPr>
            <w:r>
              <w:t xml:space="preserve">95.41</w:t>
            </w:r>
          </w:p>
        </w:tc>
        <w:tc>
          <w:tcPr/>
          <w:p>
            <w:pPr>
              <w:pStyle w:val="Compact"/>
              <w:jc w:val="left"/>
            </w:pPr>
            <w:r>
              <w:t xml:space="preserve">modern</w:t>
            </w:r>
          </w:p>
        </w:tc>
      </w:tr>
      <w:tr>
        <w:tc>
          <w:tcPr/>
          <w:p>
            <w:pPr>
              <w:pStyle w:val="Compact"/>
              <w:jc w:val="left"/>
            </w:pPr>
            <w:r>
              <w:t xml:space="preserve">LGM</w:t>
            </w:r>
          </w:p>
        </w:tc>
        <w:tc>
          <w:tcPr/>
          <w:p>
            <w:pPr>
              <w:pStyle w:val="Compact"/>
              <w:jc w:val="left"/>
            </w:pPr>
            <w:r>
              <w:t xml:space="preserve">190.0</w:t>
            </w:r>
          </w:p>
        </w:tc>
        <w:tc>
          <w:tcPr/>
          <w:p>
            <w:pPr>
              <w:pStyle w:val="Compact"/>
              <w:jc w:val="left"/>
            </w:pPr>
            <w:r>
              <w:t xml:space="preserve">375.0</w:t>
            </w:r>
          </w:p>
        </w:tc>
        <w:tc>
          <w:tcPr/>
          <w:p>
            <w:pPr>
              <w:pStyle w:val="Compact"/>
              <w:jc w:val="left"/>
            </w:pPr>
            <w:r>
              <w:t xml:space="preserve">200.0</w:t>
            </w:r>
          </w:p>
        </w:tc>
        <w:tc>
          <w:tcPr/>
          <w:p>
            <w:pPr>
              <w:pStyle w:val="Compact"/>
              <w:jc w:val="left"/>
            </w:pPr>
            <w:r>
              <w:t xml:space="preserve">0.018994</w:t>
            </w:r>
          </w:p>
        </w:tc>
        <w:tc>
          <w:tcPr/>
          <w:p>
            <w:pPr>
              <w:pStyle w:val="Compact"/>
              <w:jc w:val="left"/>
            </w:pPr>
            <w:r>
              <w:t xml:space="preserve">22.949</w:t>
            </w:r>
          </w:p>
        </w:tc>
        <w:tc>
          <w:tcPr/>
          <w:p>
            <w:pPr>
              <w:pStyle w:val="Compact"/>
              <w:jc w:val="left"/>
            </w:pPr>
            <w:r>
              <w:t xml:space="preserve">294.42</w:t>
            </w:r>
          </w:p>
        </w:tc>
        <w:tc>
          <w:tcPr/>
          <w:p>
            <w:pPr>
              <w:pStyle w:val="Compact"/>
              <w:jc w:val="left"/>
            </w:pPr>
            <w:r>
              <w:t xml:space="preserve">GLAC-1D 21 ka</w:t>
            </w:r>
          </w:p>
        </w:tc>
      </w:tr>
      <w:tr>
        <w:tc>
          <w:tcPr/>
          <w:p>
            <w:pPr>
              <w:pStyle w:val="Compact"/>
              <w:jc w:val="left"/>
            </w:pPr>
            <w:r>
              <w:t xml:space="preserve">MIS3</w:t>
            </w:r>
          </w:p>
        </w:tc>
        <w:tc>
          <w:tcPr/>
          <w:p>
            <w:pPr>
              <w:pStyle w:val="Compact"/>
              <w:jc w:val="left"/>
            </w:pPr>
            <w:r>
              <w:t xml:space="preserve">210.5</w:t>
            </w:r>
          </w:p>
        </w:tc>
        <w:tc>
          <w:tcPr/>
          <w:p>
            <w:pPr>
              <w:pStyle w:val="Compact"/>
              <w:jc w:val="left"/>
            </w:pPr>
            <w:r>
              <w:t xml:space="preserve">556.2</w:t>
            </w:r>
          </w:p>
        </w:tc>
        <w:tc>
          <w:tcPr/>
          <w:p>
            <w:pPr>
              <w:pStyle w:val="Compact"/>
              <w:jc w:val="left"/>
            </w:pPr>
            <w:r>
              <w:t xml:space="preserve">247.4</w:t>
            </w:r>
          </w:p>
        </w:tc>
        <w:tc>
          <w:tcPr/>
          <w:p>
            <w:pPr>
              <w:pStyle w:val="Compact"/>
              <w:jc w:val="left"/>
            </w:pPr>
            <w:r>
              <w:t xml:space="preserve">0.013676</w:t>
            </w:r>
          </w:p>
        </w:tc>
        <w:tc>
          <w:tcPr/>
          <w:p>
            <w:pPr>
              <w:pStyle w:val="Compact"/>
              <w:jc w:val="left"/>
            </w:pPr>
            <w:r>
              <w:t xml:space="preserve">23.2591</w:t>
            </w:r>
          </w:p>
        </w:tc>
        <w:tc>
          <w:tcPr/>
          <w:p>
            <w:pPr>
              <w:pStyle w:val="Compact"/>
              <w:jc w:val="left"/>
            </w:pPr>
            <w:r>
              <w:t xml:space="preserve">25.99</w:t>
            </w:r>
          </w:p>
        </w:tc>
        <w:tc>
          <w:tcPr/>
          <w:p>
            <w:pPr>
              <w:pStyle w:val="Compact"/>
              <w:jc w:val="left"/>
            </w:pPr>
            <w:r>
              <w:t xml:space="preserve">GLAC-1D 38 ka</w:t>
            </w:r>
          </w:p>
        </w:tc>
      </w:tr>
    </w:tbl>
    <w:p>
      <w:pPr>
        <w:pStyle w:val="BodyText"/>
      </w:pPr>
      <w:r>
        <w:t xml:space="preserve">center</w:t>
      </w:r>
    </w:p>
    <w:p>
      <w:pPr>
        <w:pStyle w:val="BodyText"/>
      </w:pPr>
      <w:r>
        <w:rPr>
          <w:color w:val="0000CC"/>
          <w:bCs/>
          <w:b/>
        </w:rPr>
        <w:t xml:space="preserve">Table R1.1 (manuscript Table 1). Boundary conditions prescribed in the five equilibrium simulations. Orbital parameters for PI are those of 1850 CE. Greenhouse gas concentrations are volume mixing ratios.</w:t>
      </w:r>
    </w:p>
    <w:p>
      <w:pPr>
        <w:pStyle w:val="BodyText"/>
      </w:pPr>
      <w:r>
        <w:rPr>
          <w:color w:val="0000CC"/>
          <w:bCs/>
          <w:b/>
        </w:rPr>
        <w:t xml:space="preserve">We have also expanded the surrounding text, since the reviewer is right that the implementation of GLAC-1D was underspecified. The point we had left implicit is that the reconstruction does not enter through one field but through several at once, including the ocean bathymetry, which is why each glacial period needs its own unstructured mesh.</w:t>
      </w:r>
    </w:p>
    <w:p>
      <w:pPr>
        <w:pStyle w:val="BodyText"/>
      </w:pPr>
      <w:r>
        <w:rPr>
          <w:color w:val="0000CC"/>
          <w:bCs/>
          <w:b/>
        </w:rPr>
        <w:t xml:space="preserve">In the revised manuscript the experimental design now reads:</w:t>
      </w:r>
    </w:p>
    <w:p>
      <w:pPr>
        <w:pStyle w:val="BodyText"/>
      </w:pPr>
      <w:r>
        <w:rPr>
          <w:color w:val="0000CC"/>
          <w:iCs/>
          <w:i/>
          <w:bCs/>
          <w:b/>
        </w:rPr>
        <w:t xml:space="preserve">“We perform five equilibrium simulations spanning distinct climate states including three interglacial periods, i.e., pre-industrial (PI), mid-Holocene (MH), and last interglacial (LIG), and two glacial periods, i.e., the Last Glacial Maximum (LGM) and Marine Isotope Stage 3 (MIS3). The boundary conditions are configured following the criteria of PMIP4 and are summarised in Table 1. Orbital parameters are calculated following , and the greenhouse gas concentrations are taken from multi-archive reconstructions from ice core records and recent measurements of firn air and atmospheric samples . For LGM and MIS3, we fix the boundary conditions at 21 ka and 38 ka respectively, with the topography and ice-sheet properties deriving from the GLAC1D reconstruction . The GLAC-1D reconstruction enters the model through several boundary fields at once, and it is clearest to list them by the component that uses them. The atmosphere receives the ice sheet extent and surface elevation as orography, together with the land-sea mask implied by the lowered sea level, so that the glacial topography and coastline are felt by the circulation. The land surface receives the same mask and elevation, and from them the river routing and the vegetation distribution, both of which are recomputed for the glacial geometry rather than held at their modern values. The ocean receives the bathymetry and the coastline. Because the ocean component uses an unstructured mesh, a changed coastline cannot be imposed on the existing grid and a dedicated mesh must be generated for each glacial period; we use meshes constructed for 21 ka and 38 ka respectively, while PI, MH and LIG share the modern-geometry mesh. Global mean ocean salinity is raised in the glacial experiments to account for the water stored in the ice sheets. No prescribed ice sheet meltwater flux is applied in any of the equilibrium simulations, and the model configuration does not include ice shelf cavities, so basal melt beneath floating ice shelves is not represented.”</w:t>
      </w:r>
    </w:p>
    <w:p>
      <w:pPr>
        <w:pStyle w:val="BodyText"/>
      </w:pPr>
      <w:r>
        <w:t xml:space="preserve">*Clarifying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rPr>
          <w:color w:val="0000CC"/>
          <w:bCs/>
          <w:b/>
        </w:rPr>
        <w:t xml:space="preserve">In the revised manuscript the moderated passage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Authors' response:</w:t>
      </w:r>
    </w:p>
    <w:p>
      <w:pPr>
        <w:pStyle w:val="BodyText"/>
      </w:pPr>
      <w:r>
        <w:rPr>
          <w:color w:val="0000CC"/>
          <w:bCs/>
          <w:b/>
        </w:rPr>
        <w:t xml:space="preserve">This comment asks specifically about bias, where the general comment above asked about evaluation, so we treat the two separately. We take the three quantities the reviewer names in turn, and in each case compare the pre-industrial simulation against observations rather than against the other climate states.</w:t>
      </w:r>
    </w:p>
    <w:p>
      <w:pPr>
        <w:pStyle w:val="BodyText"/>
      </w:pPr>
      <w:r>
        <w:rPr>
          <w:color w:val="0000CC"/>
          <w:bCs/>
          <w:b/>
        </w:rPr>
        <w:t xml:space="preserve">Before doing so, one limitation underlies all three and is best stated once. We diagnosed where the model actually forms its dense water. In the pre-industrial simulation the Weddell sector accounts for 70 per cent of the area with a winter mixed layer deeper than 400 m south of 55°S and 97 per cent of the area deeper than 600 m, centred near 68°S in the interior of the gyre rather than over the shelf. This is open-ocean convection, not the shelf overflow pathway that operates in the real ocean. It is a limitation shared across the current model generation rather than particular to AWI-ESM2: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Mixed layer depth. This is the clearest bias and the one most relevant to our mechanism. The model produces its pre-industrial deep mixed layers in the interior of the Weddell gyre near 68 deg S rather than over the continental shelf, so the convection is of the open-ocean type. The published evaluation of this model configuration does not itself examine Southern Ocean mixed layer depth, so this is our own diagnosis from our own output, and we state it as such.</w:t>
      </w:r>
    </w:p>
    <w:p>
      <w:pPr>
        <w:pStyle w:val="BodyText"/>
      </w:pPr>
      <w:r>
        <w:drawing>
          <wp:inline>
            <wp:extent cx="5334000" cy="1676399"/>
            <wp:effectExtent b="0" l="0" r="0" t="0"/>
            <wp:docPr descr="" title="" id="25" name="Picture"/>
            <a:graphic>
              <a:graphicData uri="http://schemas.openxmlformats.org/drawingml/2006/picture">
                <pic:pic>
                  <pic:nvPicPr>
                    <pic:cNvPr descr="/work/ba1066/a270064/cc_projects/aabw_5exps/nc_paper/SUBMISSION/letter_figs/figR15_mld_maps_5exps.png" id="26" name="Picture"/>
                    <pic:cNvPicPr>
                      <a:picLocks noChangeArrowheads="1" noChangeAspect="1"/>
                    </pic:cNvPicPr>
                  </pic:nvPicPr>
                  <pic:blipFill>
                    <a:blip r:embed="rId24"/>
                    <a:stretch>
                      <a:fillRect/>
                    </a:stretch>
                  </pic:blipFill>
                  <pic:spPr bwMode="auto">
                    <a:xfrm>
                      <a:off x="0" y="0"/>
                      <a:ext cx="5334000" cy="1676399"/>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Winter mixed layer depth south of 60°S for the five states. The interglacial panels (a-c) use a 0-800 m scale with the 400 m contour in orange; the glacial panels (d-e) use a 0-300 m scale with the 200 m contour, because the glacial mixed layer never approaches 400 m and the shared scale would leave those panels featureless. The pre-industrial deep mixed layers sit in the interior of the Weddell gyre rather than over the shelf, which is the bias this comment asks about, and the same pattern holds in MH and LIG. In the glacial states only narrow coastal cells remain, in the Weddell, Prydz Bay and Ross sectors.</w:t>
      </w:r>
    </w:p>
    <w:p>
      <w:pPr>
        <w:pStyle w:val="BodyText"/>
      </w:pPr>
      <w:r>
        <w:rPr>
          <w:color w:val="0000CC"/>
          <w:bCs/>
          <w:b/>
        </w:rPr>
        <w:t xml:space="preserve">Sea ice. The published evaluation reports that Antarctic sea ice in this configuration is too thin, hardly reaching 0.25 m in the central Weddell Sea in September, and that the Southern Ocean carries the model's most pronounced warm bias, with a sea surface temperature root-mean-square error of 1.43 K against the PHC climatology. A warm, thin-ice Southern Ocean is precisely the state in which open-ocean convection is favoured over shelf processes, so the documented biases and the convection behaviour we diagnose are consistent with one another.</w:t>
      </w:r>
    </w:p>
    <w:p>
      <w:pPr>
        <w:pStyle w:val="BodyText"/>
      </w:pPr>
      <w:r>
        <w:rPr>
          <w:color w:val="0000CC"/>
          <w:bCs/>
          <w:b/>
        </w:rPr>
        <w:t xml:space="preserve">Bottom water formation. The abyssal overturning cell of this configuration is reported at about 10 Sv, comparable to our pre-industrial value, but it is produced by the wrong pathway, as described above. We therefore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Taken together these are systematic biases: the mixed layers are too deep in the open ocean and too shallow on the shelf, the sea ice is too thin, and the surface is too warm and too fresh, in every one of our simulations alike. That matters for how the results should be read. Because the same bias is present in all five experiments, it largely cancels in the differences between them, which is what the paper actually reports. We make no claim about the absolute transformation rate or the absolute density at which it occurs; we claim that the balance between the thermal and haline pathways shifts between climate states, and a bias common to every state cannot generate that shift.</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t xml:space="preserve">*Latitude and longitude labels,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R1.3 in this letter shows the result. The same treatment has been applied to every map figure in the revised manuscript and supplement.</w:t>
      </w:r>
    </w:p>
    <w:p>
      <w:pPr>
        <w:pStyle w:val="BodyText"/>
      </w:pPr>
      <w:r>
        <w:drawing>
          <wp:inline>
            <wp:extent cx="5334000" cy="3735041"/>
            <wp:effectExtent b="0" l="0" r="0" t="0"/>
            <wp:docPr descr="" title="" id="28" name="Picture"/>
            <a:graphic>
              <a:graphicData uri="http://schemas.openxmlformats.org/drawingml/2006/picture">
                <pic:pic>
                  <pic:nvPicPr>
                    <pic:cNvPr descr="/work/ba1066/a270064/cc_projects/aabw_5exps/nc_paper/SUBMISSION/letter_figs/fig_age_labels-1.png" id="29" name="Picture"/>
                    <pic:cNvPicPr>
                      <a:picLocks noChangeArrowheads="1" noChangeAspect="1"/>
                    </pic:cNvPicPr>
                  </pic:nvPicPr>
                  <pic:blipFill>
                    <a:blip r:embed="rId27"/>
                    <a:stretch>
                      <a:fillRect/>
                    </a:stretch>
                  </pic:blipFill>
                  <pic:spPr bwMode="auto">
                    <a:xfrm>
                      <a:off x="0" y="0"/>
                      <a:ext cx="5334000" cy="3735041"/>
                    </a:xfrm>
                    <a:prstGeom prst="rect">
                      <a:avLst/>
                    </a:prstGeom>
                    <a:noFill/>
                    <a:ln w="9525">
                      <a:noFill/>
                      <a:headEnd/>
                      <a:tailEnd/>
                    </a:ln>
                  </pic:spPr>
                </pic:pic>
              </a:graphicData>
            </a:graphic>
          </wp:inline>
        </w:drawing>
      </w:r>
    </w:p>
    <w:p>
      <w:pPr>
        <w:pStyle w:val="BodyText"/>
      </w:pPr>
      <w:r>
        <w:rPr>
          <w:bCs/>
          <w:b/>
          <w:iCs/>
          <w:i/>
        </w:rPr>
        <w:t xml:space="preserve">Figure R1.3 (revised manuscript figure).</w:t>
      </w:r>
      <w:r>
        <w:rPr>
          <w:iCs/>
          <w:i/>
        </w:rPr>
        <w:t xml:space="preserve"> </w:t>
      </w:r>
      <w:r>
        <w:rPr>
          <w:iCs/>
          <w:i/>
        </w:rPr>
        <w:t xml:space="preserve">The ventilation age figure as an example of the labelling now applied throughout. Every panel carries labelled latitude circles and labelled meridians, and the climate state is named above each panel. The mixed layer, wind stress and composite figures have been treated the same way; please refer to the revised manuscript and supplement for the complete set.</w:t>
      </w:r>
    </w:p>
    <w:bookmarkEnd w:id="30"/>
    <w:bookmarkStart w:id="43" w:name="specific-comments"/>
    <w:p>
      <w:pPr>
        <w:pStyle w:val="Heading2"/>
      </w:pPr>
      <w:r>
        <w:t xml:space="preserve">Specific comments</w:t>
      </w:r>
    </w:p>
    <w:p>
      <w:pPr>
        <w:pStyle w:val="FirstParagraph"/>
      </w:pPr>
      <w:r>
        <w:t xml:space="preserve">1. LIG, LGM and MIS should be capitalised.</w:t>
      </w:r>
    </w:p>
    <w:p>
      <w:pPr>
        <w:pStyle w:val="BodyText"/>
      </w:pPr>
      <w:r>
        <w:rPr>
          <w:color w:val="0000CC"/>
          <w:bCs/>
          <w:b/>
        </w:rPr>
        <w:t xml:space="preserve">Thank you for catching this. The three abbreviations are now capitalised consistently throughout the manuscript, the figure captions and the supplement, and MIS is written as MIS3 everywhere so that it matches the column headings of the figures.</w:t>
      </w:r>
    </w:p>
    <w:p>
      <w:pPr>
        <w:pStyle w:val="BodyText"/>
      </w:pPr>
      <w:r>
        <w:t xml:space="preserve">2. Line 21-22: The transition to SAM is quite abrupt.</w:t>
      </w:r>
    </w:p>
    <w:p>
      <w:pPr>
        <w:pStyle w:val="BodyText"/>
      </w:pPr>
      <w:r>
        <w:rPr>
          <w:color w:val="0000CC"/>
          <w:bCs/>
          <w:b/>
        </w:rPr>
        <w:t xml:space="preserve">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3. Line 24: "same mechanisms" sounds vague her without additional context. The abstract should be understandable on its own without requiring the reader to refer to the main text.</w:t>
      </w:r>
    </w:p>
    <w:p>
      <w:pPr>
        <w:pStyle w:val="BodyText"/>
      </w:pPr>
      <w:r>
        <w:rPr>
          <w:color w:val="0000CC"/>
          <w:bCs/>
          <w:b/>
        </w:rPr>
        <w:t xml:space="preserve">Replaced with an explicit statement of the two pathways, so the abstract no longer relies on the reader having seen the main text.</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4. Lines 25-27: Similar to Comment 2 above, additional context is needed before introducing the deep ocean ventilation results. The motivation for analysing ventilation ages only becomes clear later in the manuscript, whereas the abstract should be self-contained.</w:t>
      </w:r>
    </w:p>
    <w:p>
      <w:pPr>
        <w:pStyle w:val="BodyText"/>
      </w:pPr>
      <w:r>
        <w:rPr>
          <w:color w:val="0000CC"/>
          <w:bCs/>
          <w:b/>
        </w:rPr>
        <w:t xml:space="preserve">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t xml:space="preserve">5. Lines 102-105: SAM is introduced only briefly here. Given its importance throughout the Results and Discussion, please consider providing a slightly more detailed introduction.</w:t>
      </w:r>
    </w:p>
    <w:p>
      <w:pPr>
        <w:pStyle w:val="BodyText"/>
      </w:pPr>
      <w:r>
        <w:rPr>
          <w:color w:val="0000CC"/>
          <w:bCs/>
          <w:b/>
        </w:rPr>
        <w:t xml:space="preserve">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t xml:space="preserve">6. Line 125: typo: 'more'.</w:t>
      </w:r>
    </w:p>
    <w:p>
      <w:pPr>
        <w:pStyle w:val="BodyText"/>
      </w:pPr>
      <w:r>
        <w:rPr>
          <w:color w:val="0000CC"/>
          <w:bCs/>
          <w:b/>
        </w:rPr>
        <w:t xml:space="preserve">Corrected ("moer" "more").</w:t>
      </w:r>
    </w:p>
    <w:p>
      <w:pPr>
        <w:pStyle w:val="BodyText"/>
      </w:pPr>
      <w:r>
        <w:t xml:space="preserve">7. Line 127: Figure numbering; A3 can't be called before A1 and A2.</w:t>
      </w:r>
    </w:p>
    <w:p>
      <w:pPr>
        <w:pStyle w:val="BodyText"/>
      </w:pPr>
      <w:r>
        <w:rPr>
          <w:color w:val="0000CC"/>
          <w:bCs/>
          <w:b/>
        </w:rPr>
        <w:t xml:space="preserve">The appendix figures have been reordered so that they are cited in numerical order.</w:t>
      </w:r>
    </w:p>
    <w:p>
      <w:pPr>
        <w:pStyle w:val="BodyText"/>
      </w:pPr>
      <w:r>
        <w:t xml:space="preserve">8. Line 129: 'Here,'.</w:t>
      </w:r>
    </w:p>
    <w:p>
      <w:pPr>
        <w:pStyle w:val="BodyText"/>
      </w:pPr>
      <w:r>
        <w:rPr>
          <w:color w:val="0000CC"/>
          <w:bCs/>
          <w:b/>
        </w:rPr>
        <w:t xml:space="preserve">Corrected.</w:t>
      </w:r>
    </w:p>
    <w:p>
      <w:pPr>
        <w:pStyle w:val="BodyText"/>
      </w:pPr>
      <w:r>
        <w:t xml:space="preserve">9. Line 140: As a result, the deep MLD signals, characteristic of open-ocean convection, largely…. Also, "vanish" is perhaps not the most scientific wording.</w:t>
      </w:r>
    </w:p>
    <w:p>
      <w:pPr>
        <w:pStyle w:val="BodyText"/>
      </w:pPr>
      <w:r>
        <w:rPr>
          <w:color w:val="0000CC"/>
          <w:bCs/>
          <w:b/>
        </w:rPr>
        <w:t xml:space="preserve">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t xml:space="preserve">10. Line 141: These signals are not particularly visible even in the coastal regions (the darker blue shading in LGM is at 200m, so considerably shallower than the interglacials).</w:t>
      </w:r>
    </w:p>
    <w:p>
      <w:pPr>
        <w:pStyle w:val="BodyText"/>
      </w:pPr>
      <w:r>
        <w:rPr>
          <w:color w:val="0000CC"/>
          <w:bCs/>
          <w:b/>
        </w:rPr>
        <w:t xml:space="preserve">This is a fair objection and we have addressed it with numbers. Summed south of 55°S, the area with a winter mixed layer deeper than 400 m falls from 7.5×10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PI to 1.7×10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LGM and 1.6×10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Figure R1.2 below shows the glacial fields on a scale that resolves them, and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2782956"/>
            <wp:effectExtent b="0" l="0" r="0" t="0"/>
            <wp:docPr descr="" title="" id="32" name="Picture"/>
            <a:graphic>
              <a:graphicData uri="http://schemas.openxmlformats.org/drawingml/2006/picture">
                <pic:pic>
                  <pic:nvPicPr>
                    <pic:cNvPr descr="/work/ba1066/a270064/cc_projects/aabw_5exps/nc_paper/SUBMISSION/letter_figs/figR7_mld_glacial_zoom.png" id="33" name="Picture"/>
                    <pic:cNvPicPr>
                      <a:picLocks noChangeArrowheads="1" noChangeAspect="1"/>
                    </pic:cNvPicPr>
                  </pic:nvPicPr>
                  <pic:blipFill>
                    <a:blip r:embed="rId31"/>
                    <a:stretch>
                      <a:fillRect/>
                    </a:stretch>
                  </pic:blipFill>
                  <pic:spPr bwMode="auto">
                    <a:xfrm>
                      <a:off x="0" y="0"/>
                      <a:ext cx="5334000" cy="2782956"/>
                    </a:xfrm>
                    <a:prstGeom prst="rect">
                      <a:avLst/>
                    </a:prstGeom>
                    <a:noFill/>
                    <a:ln w="9525">
                      <a:noFill/>
                      <a:headEnd/>
                      <a:tailEnd/>
                    </a:ln>
                  </pic:spPr>
                </pic:pic>
              </a:graphicData>
            </a:graphic>
          </wp:inline>
        </w:drawing>
      </w:r>
    </w:p>
    <w:p>
      <w:pPr>
        <w:pStyle w:val="BodyText"/>
      </w:pPr>
      <w:r>
        <w:rPr>
          <w:bCs/>
          <w:b/>
          <w:iCs/>
          <w:i/>
        </w:rPr>
        <w:t xml:space="preserve">Figure R1.4 (new supplementary panel).</w:t>
      </w:r>
      <w:r>
        <w:rPr>
          <w:iCs/>
          <w:i/>
        </w:rPr>
        <w:t xml:space="preserve"> </w:t>
      </w:r>
      <w:r>
        <w:rPr>
          <w:iCs/>
          <w:i/>
        </w:rPr>
        <w:t xml:space="preserve">(a) LGM and (b) MIS3 winter mixed layer depth south of 60°S, on a 0–300 m scale with the 200 m contour in orange. The tightened scale resolves discrete deep cells along the coast, in the Weddell, Prydz Bay and Ross sectors, which is where the glacial dense water is produced. This is the figure we now use in the supplement.</w:t>
      </w:r>
    </w:p>
    <w:p>
      <w:pPr>
        <w:pStyle w:val="BodyText"/>
      </w:pPr>
      <w:r>
        <w:t xml:space="preserve">11. Line 134-141: Fig.1 i-l subpanels are not discussed at all.</w:t>
      </w:r>
    </w:p>
    <w:p>
      <w:pPr>
        <w:pStyle w:val="BodyText"/>
      </w:pPr>
      <w:r>
        <w:rPr>
          <w:color w:val="0000CC"/>
          <w:bCs/>
          <w:b/>
        </w:rPr>
        <w:t xml:space="preserve">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t xml:space="preserve">12. Line 144-146: The LIG also exhibits similar behaviour, although the changes are smaller in some basins. Likewise, the LGM shows some negative anomalies in the Atlantic–Indian sector.</w:t>
      </w:r>
    </w:p>
    <w:p>
      <w:pPr>
        <w:pStyle w:val="BodyText"/>
      </w:pPr>
      <w:r>
        <w:rPr>
          <w:color w:val="0000CC"/>
          <w:bCs/>
          <w:b/>
        </w:rPr>
        <w:t xml:space="preserve">Both points are now stated in the text; see the response to comment 11.</w:t>
      </w:r>
    </w:p>
    <w:p>
      <w:pPr>
        <w:pStyle w:val="BodyText"/>
      </w:pPr>
      <w:r>
        <w:t xml:space="preserve">13. Line 146-148: An explanation of why the wind stress changes do not lead to increased sea ice in the Ross Sea would be useful. Is this due to the presence of relatively warm water despite enhanced salinity, density, and Ekman transport in this region?</w:t>
      </w:r>
    </w:p>
    <w:p>
      <w:pPr>
        <w:pStyle w:val="BodyText"/>
      </w:pPr>
      <w:r>
        <w:rPr>
          <w:color w:val="0000CC"/>
          <w:bCs/>
          <w:b/>
        </w:rPr>
        <w:t xml:space="preserve">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5" name="Picture"/>
            <a:graphic>
              <a:graphicData uri="http://schemas.openxmlformats.org/drawingml/2006/picture">
                <pic:pic>
                  <pic:nvPicPr>
                    <pic:cNvPr descr="/work/ba1066/a270064/cc_projects/aabw_5exps/nc_paper/SUBMISSION/letter_figs/figR9_ross_sector.png" id="36" name="Picture"/>
                    <pic:cNvPicPr>
                      <a:picLocks noChangeArrowheads="1" noChangeAspect="1"/>
                    </pic:cNvPicPr>
                  </pic:nvPicPr>
                  <pic:blipFill>
                    <a:blip r:embed="rId34"/>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R1.5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t xml:space="preserve">14. Line 167: It would be helpful to quantify the thermal contribution, similar to the quantification provided for the haline contribution in line 157.</w:t>
      </w:r>
    </w:p>
    <w:p>
      <w:pPr>
        <w:pStyle w:val="BodyText"/>
      </w:pPr>
      <w:r>
        <w:rPr>
          <w:color w:val="0000CC"/>
          <w:bCs/>
          <w:b/>
        </w:rPr>
        <w:t xml:space="preserve">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(σ</w:t>
      </w:r>
      <w:r>
        <w:rPr>
          <w:color w:val="0000CC"/>
          <w:vertAlign w:val="subscript"/>
          <w:iCs/>
          <w:i/>
          <w:bCs/>
          <w:b/>
        </w:rPr>
        <w:t xml:space="preserve">2</w:t>
      </w:r>
      <w:r>
        <w:rPr>
          <w:color w:val="0000CC"/>
          <w:iCs/>
          <w:i/>
          <w:bCs/>
          <w:b/>
        </w:rPr>
        <w:t xml:space="preserve"> </w:t>
      </w:r>
      <w:r>
        <w:rPr>
          <w:color w:val="0000CC"/>
          <w:iCs/>
          <w:i/>
          <w:bCs/>
          <w:b/>
        </w:rPr>
        <w:t xml:space="preserve">≥ 37.0 kg m</w:t>
      </w:r>
      <w:r>
        <w:rPr>
          <w:color w:val="0000CC"/>
          <w:vertAlign w:val="superscript"/>
          <w:iCs/>
          <w:i/>
          <w:bCs/>
          <w:b/>
        </w:rPr>
        <w:t xml:space="preserve">-3</w:t>
      </w:r>
      <w:r>
        <w:rPr>
          <w:color w:val="0000CC"/>
          <w:iCs/>
          <w:i/>
          <w:bCs/>
          <w:b/>
        </w:rPr>
        <w:t xml:space="preserve">),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t xml:space="preserve">15. Fig. 2 Would it be possible to share a figure with the same y-axis limits for all panels? This may not be necessary for the final manuscript, but it would make it easier to compare the magnitude of the changes across the different climate states.</w:t>
      </w:r>
    </w:p>
    <w:p>
      <w:pPr>
        <w:pStyle w:val="BodyText"/>
      </w:pPr>
      <w:r>
        <w:rPr>
          <w:color w:val="0000CC"/>
          <w:bCs/>
          <w:b/>
        </w:rPr>
        <w:t xml:space="preserve">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38" name="Picture"/>
            <a:graphic>
              <a:graphicData uri="http://schemas.openxmlformats.org/drawingml/2006/picture">
                <pic:pic>
                  <pic:nvPicPr>
                    <pic:cNvPr descr="/work/ba1066/a270064/cc_projects/aabw_5exps/nc_paper/SUBMISSION/letter_figs/figS_common_axis-1.png" id="39" name="Picture"/>
                    <pic:cNvPicPr>
                      <a:picLocks noChangeArrowheads="1" noChangeAspect="1"/>
                    </pic:cNvPicPr>
                  </pic:nvPicPr>
                  <pic:blipFill>
                    <a:blip r:embed="rId37"/>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R1.6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t xml:space="preserve">16. Line 174: "Section 4?"If this is intended to refer to the Methods section.</w:t>
      </w:r>
    </w:p>
    <w:p>
      <w:pPr>
        <w:pStyle w:val="BodyText"/>
      </w:pPr>
      <w:r>
        <w:rPr>
          <w:color w:val="0000CC"/>
          <w:bCs/>
          <w:b/>
        </w:rPr>
        <w:t xml:space="preserve">Corrected to refer to the Methods section by name.</w:t>
      </w:r>
    </w:p>
    <w:p>
      <w:pPr>
        <w:pStyle w:val="BodyText"/>
      </w:pPr>
      <w:r>
        <w:t xml:space="preserve">17. Fig.3 Please consider adding the climate-state labels at the top of each column, as in the other figures.</w:t>
      </w:r>
    </w:p>
    <w:p>
      <w:pPr>
        <w:pStyle w:val="BodyText"/>
      </w:pPr>
      <w:r>
        <w:rPr>
          <w:color w:val="0000CC"/>
          <w:bCs/>
          <w:b/>
        </w:rPr>
        <w:t xml:space="preserve">Added, here and on the other multi-panel figures; Reviewer 3 made the same request.</w:t>
      </w:r>
    </w:p>
    <w:p>
      <w:pPr>
        <w:pStyle w:val="BodyText"/>
      </w:pPr>
      <w:r>
        <w:drawing>
          <wp:inline>
            <wp:extent cx="5334000" cy="4964723"/>
            <wp:effectExtent b="0" l="0" r="0" t="0"/>
            <wp:docPr descr="" title="" id="41" name="Picture"/>
            <a:graphic>
              <a:graphicData uri="http://schemas.openxmlformats.org/drawingml/2006/picture">
                <pic:pic>
                  <pic:nvPicPr>
                    <pic:cNvPr descr="/work/ba1066/a270064/cc_projects/aabw_5exps/nc_paper/SUBMISSION/letter_figs/fig03_labels-1.png" id="42" name="Picture"/>
                    <pic:cNvPicPr>
                      <a:picLocks noChangeArrowheads="1" noChangeAspect="1"/>
                    </pic:cNvPicPr>
                  </pic:nvPicPr>
                  <pic:blipFill>
                    <a:blip r:embed="rId40"/>
                    <a:stretch>
                      <a:fillRect/>
                    </a:stretch>
                  </pic:blipFill>
                  <pic:spPr bwMode="auto">
                    <a:xfrm>
                      <a:off x="0" y="0"/>
                      <a:ext cx="5334000" cy="4964723"/>
                    </a:xfrm>
                    <a:prstGeom prst="rect">
                      <a:avLst/>
                    </a:prstGeom>
                    <a:noFill/>
                    <a:ln w="9525">
                      <a:noFill/>
                      <a:headEnd/>
                      <a:tailEnd/>
                    </a:ln>
                  </pic:spPr>
                </pic:pic>
              </a:graphicData>
            </a:graphic>
          </wp:inline>
        </w:drawing>
      </w:r>
    </w:p>
    <w:p>
      <w:pPr>
        <w:pStyle w:val="BodyText"/>
      </w:pPr>
      <w:r>
        <w:rPr>
          <w:bCs/>
          <w:b/>
          <w:iCs/>
          <w:i/>
        </w:rPr>
        <w:t xml:space="preserve">Figure R1.7 (revised manuscript Fig. 3).</w:t>
      </w:r>
      <w:r>
        <w:rPr>
          <w:iCs/>
          <w:i/>
        </w:rPr>
        <w:t xml:space="preserve"> </w:t>
      </w:r>
      <w:r>
        <w:rPr>
          <w:iCs/>
          <w:i/>
        </w:rPr>
        <w:t xml:space="preserve">The surface density tendency figure with the climate-state headings added, so that the columns are identified in the same way as in the other figures. The freshwater counterpart, Fig. 4, has been given the same headings.</w:t>
      </w:r>
    </w:p>
    <w:p>
      <w:pPr>
        <w:pStyle w:val="BodyText"/>
      </w:pPr>
      <w:r>
        <w:t xml:space="preserve">18. Line 180/181: The LIG is first described as "showing modest changes", but later as "exhibiting a pronounced increase". These descriptions appear inconsistent.</w:t>
      </w:r>
    </w:p>
    <w:p>
      <w:pPr>
        <w:pStyle w:val="BodyText"/>
      </w:pPr>
      <w:r>
        <w:rPr>
          <w:color w:val="0000CC"/>
          <w:bCs/>
          <w:b/>
        </w:rPr>
        <w:t xml:space="preserve">The two statements referred to different quantities, which was not clear. The changes are modest in the circumpolar integral and pronounced locally in the Ross Sea sector. The text now says so explicitly.</w:t>
      </w:r>
    </w:p>
    <w:p>
      <w:pPr>
        <w:pStyle w:val="BodyText"/>
      </w:pPr>
      <w:r>
        <w:t xml:space="preserve">19. Could the authors briefly explain what is meant by thermal density tendency and sea-ice-driven density tendency in the methods.</w:t>
      </w:r>
    </w:p>
    <w:p>
      <w:pPr>
        <w:pStyle w:val="BodyText"/>
      </w:pPr>
      <w:r>
        <w:rPr>
          <w:color w:val="0000CC"/>
          <w:bCs/>
          <w:b/>
        </w:rPr>
        <w:t xml:space="preserve">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-≤ft(/C</w:t>
      </w:r>
      <w:r>
        <w:rPr>
          <w:color w:val="0000CC"/>
          <w:vertAlign w:val="subscript"/>
          <w:iCs/>
          <w:i/>
          <w:bCs/>
          <w:b/>
        </w:rPr>
        <w:t xml:space="preserve">p</w:t>
      </w:r>
      <w:r>
        <w:rPr>
          <w:color w:val="0000CC"/>
          <w:iCs/>
          <w:i/>
          <w:bCs/>
          <w:b/>
        </w:rPr>
        <w:t xml:space="preserve">)Q</w:t>
      </w:r>
      <w:r>
        <w:rPr>
          <w:color w:val="0000CC"/>
          <w:vertAlign w:val="subscript"/>
          <w:iCs/>
          <w:i/>
          <w:bCs/>
          <w:b/>
        </w:rPr>
        <w:t xml:space="preserve">n</w:t>
      </w:r>
      <w:r>
        <w:rPr>
          <w:color w:val="0000CC"/>
          <w:iCs/>
          <w:i/>
          <w:bCs/>
          <w:b/>
        </w:rPr>
        <w:t xml:space="preserve">et term, and to the sea-ice-driven density tendency, meaning the part of the haline term S F</w:t>
      </w:r>
      <w:r>
        <w:rPr>
          <w:color w:val="0000CC"/>
          <w:vertAlign w:val="subscript"/>
          <w:iCs/>
          <w:i/>
          <w:bCs/>
          <w:b/>
        </w:rPr>
        <w:t xml:space="preserve">f</w:t>
      </w:r>
      <w:r>
        <w:rPr>
          <w:color w:val="0000CC"/>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t xml:space="preserve">20. Line 209: Please add the appropriate reference(s) here to support this statement.</w:t>
      </w:r>
    </w:p>
    <w:p>
      <w:pPr>
        <w:pStyle w:val="BodyText"/>
      </w:pPr>
      <w:r>
        <w:rPr>
          <w:color w:val="0000CC"/>
          <w:bCs/>
          <w:b/>
        </w:rPr>
        <w:t xml:space="preserve">We now cite Cerovečki et al. (2013) and Abernathey et al. (2016) in support of the statement that turbulent rather than radiative fluxes control the surface buoyancy budget.</w:t>
      </w:r>
    </w:p>
    <w:p>
      <w:pPr>
        <w:pStyle w:val="BodyText"/>
      </w:pPr>
      <w:r>
        <w:t xml:space="preserve">21. Line216-246: Please refer to the relevant subpanels of Figure A5.</w:t>
      </w:r>
    </w:p>
    <w:p>
      <w:pPr>
        <w:pStyle w:val="BodyText"/>
      </w:pPr>
      <w:r>
        <w:rPr>
          <w:color w:val="0000CC"/>
          <w:bCs/>
          <w:b/>
        </w:rPr>
        <w:t xml:space="preserve">Done, and the same treatment has been applied throughout the Results and Discussion rather than only in the passage the reviewer names. As an example of the form these references now take:</w:t>
      </w:r>
    </w:p>
    <w:p>
      <w:pPr>
        <w:pStyle w:val="BodyText"/>
      </w:pPr>
      <w:r>
        <w:rPr>
          <w:color w:val="0000CC"/>
          <w:iCs/>
          <w:i/>
          <w:bCs/>
          <w:b/>
        </w:rPr>
        <w:t xml:space="preserve">“In PI, strong thermal densification (red shading) is concentrated in the open ocean (Fig. 3a), with maximal values reaching 5 10-6 kg m</w:t>
      </w:r>
      <w:r>
        <w:rPr>
          <w:color w:val="0000CC"/>
          <w:vertAlign w:val="superscript"/>
          <w:iCs/>
          <w:i/>
          <w:bCs/>
          <w:b/>
        </w:rPr>
        <w:t xml:space="preserve">-3</w:t>
      </w:r>
      <w:r>
        <w:rPr>
          <w:color w:val="0000CC"/>
          <w:iCs/>
          <w:i/>
          <w:bCs/>
          <w:b/>
        </w:rPr>
        <w:t xml:space="preserve"> </w:t>
      </w:r>
      <w:r>
        <w:rPr>
          <w:color w:val="0000CC"/>
          <w:iCs/>
          <w:i/>
          <w:bCs/>
          <w:b/>
        </w:rPr>
        <w:t xml:space="preserve">s</w:t>
      </w:r>
      <w:r>
        <w:rPr>
          <w:color w:val="0000CC"/>
          <w:vertAlign w:val="superscript"/>
          <w:iCs/>
          <w:i/>
          <w:bCs/>
          <w:b/>
        </w:rPr>
        <w:t xml:space="preserve">-1</w:t>
      </w:r>
      <w:r>
        <w:rPr>
          <w:color w:val="0000CC"/>
          <w:iCs/>
          <w:i/>
          <w:bCs/>
          <w:b/>
        </w:rPr>
        <w:t xml:space="preserve"> </w:t>
      </w:r>
      <w:r>
        <w:rPr>
          <w:color w:val="0000CC"/>
          <w:iCs/>
          <w:i/>
          <w:bCs/>
          <w:b/>
        </w:rPr>
        <w:t xml:space="preserve">in the circumpolar band between 50-65°S. This thermal densification is overwhelmingly controlled by turbulent fluxes (sensible and latent heat), with radiative fluxes playing a minor role in the buoyancy budget (Fig. 3f-j vs. Fig. 3k-o), consistent with observationally based surface buoyancy budgets for the Southern Ocean .”</w:t>
      </w:r>
    </w:p>
    <w:p>
      <w:pPr>
        <w:pStyle w:val="BodyText"/>
      </w:pPr>
      <w:r>
        <w:t xml:space="preserve">22. Line 249, 255: The phrase "across at high latitudes" is somewhat unclear. Does this refer specifically to the Antarctic coastal region or the Southern Ocean south of a particular latitude? Please consider rephrasing for clarity.</w:t>
      </w:r>
    </w:p>
    <w:p>
      <w:pPr>
        <w:pStyle w:val="BodyText"/>
      </w:pPr>
      <w:r>
        <w:rPr>
          <w:color w:val="0000CC"/>
          <w:bCs/>
          <w:b/>
        </w:rPr>
        <w:t xml:space="preserve">Both instances have been rewritten. They now read "over the ice-free parts of the Southern Ocean south of about 50°S" and "south of the ice edge" respectively.</w:t>
      </w:r>
    </w:p>
    <w:p>
      <w:pPr>
        <w:pStyle w:val="BodyText"/>
      </w:pPr>
      <w:r>
        <w:t xml:space="preserve">23. Could the authors clarify where the primary deep water formation regions occur in this model? Identifying these regions would also help assess whether the SAM-related changes shown in Figure 5 are directly influencing the main regions of dense water formation, as relatively little signal is apparent over the Weddell and Ross Seas.</w:t>
      </w:r>
    </w:p>
    <w:p>
      <w:pPr>
        <w:pStyle w:val="BodyText"/>
      </w:pPr>
      <w:r>
        <w:rPr>
          <w:color w:val="0000CC"/>
          <w:bCs/>
          <w:b/>
        </w:rPr>
        <w:t xml:space="preserve">We have added this diagnosis to the Results, and Figure R1.2 above shows it directly: the winter mixed layer depth for all five states.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model evaluation above.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t xml:space="preserve">24. Lines 261-263: Please consider expanding on the physical mechanism linking positive SAM to freshwater loss and intensified brine rejection by additional explanation and supporting references.</w:t>
      </w:r>
    </w:p>
    <w:p>
      <w:pPr>
        <w:pStyle w:val="BodyText"/>
      </w:pPr>
      <w:r>
        <w:rPr>
          <w:color w:val="0000CC"/>
          <w:bCs/>
          <w:b/>
        </w:rPr>
        <w:t xml:space="preserve">Expanded, and we have added the two references the reviewer asks for. The passage now states the mechanism as a chain rather than asserting the endpoint, and cites the observational work on Antarctic Bottom Water production in the Cape Darnley polynya and on the sea ice contribution to Southern Ocean transformation.</w:t>
      </w:r>
    </w:p>
    <w:p>
      <w:pPr>
        <w:pStyle w:val="BodyText"/>
      </w:pPr>
      <w:r>
        <w:rPr>
          <w:color w:val="0000CC"/>
          <w:bCs/>
          <w:b/>
        </w:rPr>
        <w:t xml:space="preserve">In the revised manuscript this now reads:</w:t>
      </w:r>
    </w:p>
    <w:p>
      <w:pPr>
        <w:pStyle w:val="BodyText"/>
      </w:pPr>
      <w:r>
        <w:rPr>
          <w:color w:val="0000CC"/>
          <w:iCs/>
          <w:i/>
          <w:bCs/>
          <w:b/>
        </w:rPr>
        <w:t xml:space="preserve">“This pattern is controlled by sea ice processes, and the chain that produces it runs as follows. Strengthened and poleward-shifted westerlies increase the offshore component of the wind stress at the coast, which drives sea ice away from the continental margin. The divergence opens and widens coastal polynyas, exposing water already at the freezing point directly to a cold atmosphere. New ice therefore forms rapidly in those openings, and because ice rejects most of its salt as it grows, the salt is delivered to the surface ocean precisely where the water is coldest and densest. The ice exported offshore carries the compensating freshwater north, where it melts and freshens the surface. The result is the observed dipole, with salinification at the coast and freshening offshore, and it is the same mechanism identified in observations of Antarctic Bottom Water production in the Cape Darnley polynya and in the sea ice contribution to Southern Ocean water mass transformation more generally .”</w:t>
      </w:r>
    </w:p>
    <w:p>
      <w:pPr>
        <w:pStyle w:val="BodyText"/>
      </w:pPr>
      <w:r>
        <w:t xml:space="preserve">25. Line 291, 294: Please check citation format.</w:t>
      </w:r>
    </w:p>
    <w:p>
      <w:pPr>
        <w:pStyle w:val="BodyText"/>
      </w:pPr>
      <w:r>
        <w:rPr>
          <w:color w:val="0000CC"/>
          <w:bCs/>
          <w:b/>
        </w:rPr>
        <w:t xml:space="preserve">Corrected.</w:t>
      </w:r>
    </w:p>
    <w:p>
      <w:pPr>
        <w:pStyle w:val="BodyText"/>
      </w:pPr>
      <w:r>
        <w:t xml:space="preserve">26. Line 301:Figure A4 appears to show only model results. Please consider including the observational estimates in the figure (or referring to them directly) to support this statement. As noted above, it would also improve readability if the appendix figures were cited in numerical order.</w:t>
      </w:r>
    </w:p>
    <w:p>
      <w:pPr>
        <w:pStyle w:val="BodyText"/>
      </w:pPr>
      <w:r>
        <w:rPr>
          <w:color w:val="0000CC"/>
          <w:bCs/>
          <w:b/>
        </w:rPr>
        <w:t xml:space="preserve">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t xml:space="preserve">27. Lines 308-321: The discussion quantifies the interglacial changes (e.g., lines 315–316), but similar quantification is not provided for the glacial changes. For consistency, please consider including quantitative estimates for both.</w:t>
      </w:r>
    </w:p>
    <w:p>
      <w:pPr>
        <w:pStyle w:val="BodyText"/>
      </w:pPr>
      <w:r>
        <w:rPr>
          <w:color w:val="0000CC"/>
          <w:bCs/>
          <w:b/>
        </w:rPr>
        <w:t xml:space="preserve">Added. The glacial transformation maximum weakens to below 60 Sv and moves to σ</w:t>
      </w:r>
      <w:r>
        <w:rPr>
          <w:color w:val="0000CC"/>
          <w:vertAlign w:val="subscript"/>
          <w:bCs/>
          <w:b/>
        </w:rPr>
        <w:t xml:space="preserve">2</w:t>
      </w:r>
      <w:r>
        <w:rPr>
          <w:color w:val="0000CC"/>
          <w:bCs/>
          <w:b/>
        </w:rPr>
        <w:t xml:space="preserve"> </w:t>
      </w:r>
      <w:r>
        <w:rPr>
          <w:color w:val="0000CC"/>
          <w:bCs/>
          <w:b/>
        </w:rPr>
        <w:t xml:space="preserve">= 37.0–37.5 kg m</w:t>
      </w:r>
      <w:r>
        <w:rPr>
          <w:color w:val="0000CC"/>
          <w:vertAlign w:val="superscript"/>
          <w:bCs/>
          <w:b/>
        </w:rPr>
        <w:t xml:space="preserve">-3</w:t>
      </w:r>
      <w:r>
        <w:rPr>
          <w:color w:val="0000CC"/>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 σ</w:t>
      </w:r>
      <w:r>
        <w:rPr>
          <w:color w:val="0000CC"/>
          <w:vertAlign w:val="subscript"/>
          <w:iCs/>
          <w:i/>
          <w:bCs/>
          <w:b/>
        </w:rPr>
        <w:t xml:space="preserve">2</w:t>
      </w:r>
      <w:r>
        <w:rPr>
          <w:color w:val="0000CC"/>
          <w:iCs/>
          <w:i/>
          <w:bCs/>
          <w:b/>
        </w:rPr>
        <w:t xml:space="preserve"> </w:t>
      </w:r>
      <w:r>
        <w:rPr>
          <w:color w:val="0000CC"/>
          <w:iCs/>
          <w:i/>
          <w:bCs/>
          <w:b/>
        </w:rPr>
        <w:t xml:space="preserve">= 37.0-37.5 kg m</w:t>
      </w:r>
      <w:r>
        <w:rPr>
          <w:color w:val="0000CC"/>
          <w:vertAlign w:val="superscript"/>
          <w:iCs/>
          <w:i/>
          <w:bCs/>
          <w:b/>
        </w:rPr>
        <w:t xml:space="preserve">-3</w:t>
      </w:r>
      <w:r>
        <w:rPr>
          <w:color w:val="0000CC"/>
          <w:iCs/>
          <w:i/>
          <w:bCs/>
          <w:b/>
        </w:rPr>
        <w:t xml:space="preserve">,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t xml:space="preserve">28. Lines 326 appear to repeat the statement made in line 323. In addition, the general statement in lines 323–325 does not appear to hold equally across all climate states. For example, the Ross Sea and Weddell Sea exhibit different behaviour for the peak-density classes.</w:t>
      </w:r>
    </w:p>
    <w:p>
      <w:pPr>
        <w:pStyle w:val="BodyText"/>
      </w:pPr>
      <w:r>
        <w:rPr>
          <w:color w:val="0000CC"/>
          <w:bCs/>
          <w:b/>
        </w:rPr>
        <w:t xml:space="preserve">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t xml:space="preserve">29. Line 339: Please provide a reference for the sediment-record evidence discussed here.</w:t>
      </w:r>
    </w:p>
    <w:p>
      <w:pPr>
        <w:pStyle w:val="BodyText"/>
      </w:pPr>
      <w:r>
        <w:rPr>
          <w:color w:val="0000CC"/>
          <w:bCs/>
          <w:b/>
        </w:rPr>
        <w:t xml:space="preserve">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30. Section 4.1: Please define the full names of the abbreviated components.</w:t>
      </w:r>
    </w:p>
    <w:p>
      <w:pPr>
        <w:pStyle w:val="BodyText"/>
      </w:pPr>
      <w:r>
        <w:rPr>
          <w:color w:val="0000CC"/>
          <w:bCs/>
          <w:b/>
        </w:rPr>
        <w:t xml:space="preserve">Done, and the definitions are now given where the figures use the terms rather than only in the flux description.</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t xml:space="preserve">31. Line 388: Please check the citation formatting.</w:t>
      </w:r>
    </w:p>
    <w:p>
      <w:pPr>
        <w:pStyle w:val="BodyText"/>
      </w:pPr>
      <w:r>
        <w:rPr>
          <w:color w:val="0000CC"/>
          <w:bCs/>
          <w:b/>
        </w:rPr>
        <w:t xml:space="preserve">Corrected.</w:t>
      </w:r>
    </w:p>
    <w:p>
      <w:pPr>
        <w:pStyle w:val="BodyText"/>
      </w:pPr>
      <w:r>
        <w:t xml:space="preserve">32. Lines 394-403: Please consider including a summary table listing the prescribed boundary conditions for each experiment (e.g., greenhouse gas concentrations, orbital parameters, ice-sheet reconstruction, and any other relevant forcings). This would make the experimental setup considerably easier to follow.</w:t>
      </w:r>
    </w:p>
    <w:p>
      <w:pPr>
        <w:pStyle w:val="BodyText"/>
      </w:pPr>
      <w:r>
        <w:rPr>
          <w:color w:val="0000CC"/>
          <w:bCs/>
          <w:b/>
        </w:rPr>
        <w:t xml:space="preserve">Added as Table 1; see G2.</w:t>
      </w:r>
    </w:p>
    <w:bookmarkEnd w:id="43"/>
    <w:bookmarkEnd w:id="44"/>
    <w:sectPr>
      <w:pgSz w:w="11906" w:h="16838"/>
      <w:pgMar w:top="1540" w:right="2480" w:bottom="3740" w:left="200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2026-10-13T08:35:22Z</dcterms:created>
  <dcterms:modified xsi:type="dcterms:W3CDTF">2026-10-13T08:35:22Z</dcterms:modified>
</cp:coreProperties>
</file>

<file path=docProps/custom.xml><?xml version="1.0" encoding="utf-8"?>
<Properties xmlns="http://schemas.openxmlformats.org/officeDocument/2006/custom-properties" xmlns:vt="http://schemas.openxmlformats.org/officeDocument/2006/docPropsVTypes"/>
</file>