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6.png" ContentType="image/png"/>
  <Override PartName="/word/media/rId65.png" ContentType="image/png"/>
  <Override PartName="/word/media/rId57.png" ContentType="image/png"/>
  <Override PartName="/word/media/rId60.png" ContentType="image/png"/>
  <Override PartName="/word/media/rId24.png" ContentType="image/png"/>
  <Override PartName="/word/media/rId28.png" ContentType="image/png"/>
  <Override PartName="/word/media/rId39.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p>
      <w:pPr>
        <w:pStyle w:val="FirstParagraph"/>
      </w:pPr>
      <w:r>
        <w:t xml:space="preserve">Manuscript: Glacial–interglacial regime shift in Southern Ocean dense water formation</w:t>
      </w:r>
    </w:p>
    <w:p>
      <w:pPr>
        <w:pStyle w:val="BodyText"/>
      </w:pPr>
      <w:r>
        <w:t xml:space="preserve">Dear Editor and Reviewers,</w:t>
      </w:r>
    </w:p>
    <w:p>
      <w:pPr>
        <w:pStyle w:val="BodyText"/>
      </w:pPr>
      <w:r>
        <w:t xml:space="preserve">Thank you for the care you have taken with this manuscript. The reports are detailed and constructive, and several of them identify a problem that we had handled too lightly in the submitted version, namely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t xml:space="preserve">In the following we reproduce every reviewer comment in full and respond to each in turn. Our replies are written in blue, and new or modified manuscript text is given in blue italics inside quotation marks. Figures are numbered per reviewer, so Reviewer 1 is referred to Figs. R1.1–R1.3, Reviewer 2 to Figs. R2.1–R2.3 and Reviewer 3 to Figs. R3.1–R3.6. Where several reviewers raised the same point the relevant figure is repeated in each section, so that no reviewer needs to consult another reviewer's response.</w:t>
      </w:r>
    </w:p>
    <w:p>
      <w:pPr>
        <w:pStyle w:val="BodyText"/>
      </w:pPr>
      <w:r>
        <w:t xml:space="preserve">Thanks again for your time and effort.</w:t>
      </w:r>
    </w:p>
    <w:p>
      <w:pPr>
        <w:pStyle w:val="BodyText"/>
      </w:pPr>
      <w:r>
        <w:t xml:space="preserve">Best regards,</w:t>
      </w:r>
    </w:p>
    <w:p>
      <w:pPr>
        <w:pStyle w:val="BodyText"/>
      </w:pPr>
      <w:r>
        <w:t xml:space="preserve">Xiaoxu Shi, on behalf of all co-authors</w:t>
      </w:r>
    </w:p>
    <w:bookmarkStart w:id="20" w:name="summary-of-the-main-changes"/>
    <w:p>
      <w:pPr>
        <w:pStyle w:val="Heading1"/>
      </w:pPr>
      <w:r>
        <w:t xml:space="preserve">Summary of the main changes</w:t>
      </w:r>
    </w:p>
    <w:p>
      <w:pPr>
        <w:pStyle w:val="FirstParagraph"/>
      </w:pPr>
      <w:r>
        <w:t xml:space="preserve">Five new figures and one new table have been added, together with a Source Data file. The principal changes are:</w:t>
      </w:r>
    </w:p>
    <w:p>
      <w:pPr>
        <w:numPr>
          <w:ilvl w:val="0"/>
          <w:numId w:val="1001"/>
        </w:numPr>
        <w:pStyle w:val="Compact"/>
      </w:pPr>
      <w:r>
        <w:t xml:space="preserve">The disagreement with Pellichero et al. (2018) was tested rather than asserted. We recomputed the transformation over their exact domain, the region inside the September 15% sea ice contour, which our reproduction matches to within 2.5% in area. We also converted our density classes to their neutral density coordinate. The disagreement turns out to be largely a difference of domain and of density class rather than a wholesale contradiction, and a residual model bias that we now state plainly.</w:t>
      </w:r>
    </w:p>
    <w:p>
      <w:pPr>
        <w:numPr>
          <w:ilvl w:val="0"/>
          <w:numId w:val="1001"/>
        </w:numPr>
        <w:pStyle w:val="Compact"/>
      </w:pPr>
      <w:r>
        <w:t xml:space="preserve">The overturning streamfunction and the global ideal age field are now shown directly, as Reviewer 3 requested, rather than inferring circulation from ideal age at a single depth.</w:t>
      </w:r>
    </w:p>
    <w:p>
      <w:pPr>
        <w:numPr>
          <w:ilvl w:val="0"/>
          <w:numId w:val="1001"/>
        </w:numPr>
        <w:pStyle w:val="Compact"/>
      </w:pPr>
      <w:r>
        <w:t xml:space="preserve">Chen et al. (2025) is now cited and discussed, with an explicit statement of what the transformation analysis adds.</w:t>
      </w:r>
    </w:p>
    <w:p>
      <w:pPr>
        <w:numPr>
          <w:ilvl w:val="0"/>
          <w:numId w:val="1001"/>
        </w:numPr>
        <w:pStyle w:val="Compact"/>
      </w:pPr>
      <w:r>
        <w:t xml:space="preserve">The Southern Annular Mode analysis has been extended to separate the wind-driven upwelling from the sea ice salt pump, following Reviewer 3's suggestion.</w:t>
      </w:r>
    </w:p>
    <w:p>
      <w:pPr>
        <w:numPr>
          <w:ilvl w:val="0"/>
          <w:numId w:val="1001"/>
        </w:numPr>
        <w:pStyle w:val="Compact"/>
      </w:pPr>
      <w:r>
        <w:t xml:space="preserve">A boundary condition table has been added and all figures now carry climate-state and coordinate labels.</w:t>
      </w:r>
    </w:p>
    <w:bookmarkEnd w:id="20"/>
    <w:bookmarkStart w:id="38"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w:t>
      </w:r>
    </w:p>
    <w:p>
      <w:pPr>
        <w:pStyle w:val="BodyText"/>
      </w:pPr>
      <w:r>
        <w:t xml:space="preserve">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 We have addressed every point below.</w:t>
      </w:r>
    </w:p>
    <w:bookmarkStart w:id="27" w:name="general-comments"/>
    <w:p>
      <w:pPr>
        <w:pStyle w:val="Heading2"/>
      </w:pPr>
      <w:r>
        <w:t xml:space="preserve">General comments</w:t>
      </w:r>
    </w:p>
    <w:p>
      <w:pPr>
        <w:pStyle w:val="FirstParagraph"/>
      </w:pPr>
      <w:r>
        <w:t xml:space="preserve">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w:t>
      </w:r>
    </w:p>
    <w:p>
      <w:pPr>
        <w:pStyle w:val="BodyText"/>
      </w:pPr>
      <w:r>
        <w:t xml:space="preserve">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compare the simulated pre-industrial transformation with the observation-based estimate of Pellichero et al. (2018) over</w:t>
      </w:r>
      <w:r>
        <w:rPr>
          <w:bCs/>
          <w:b/>
        </w:rPr>
        <w:t xml:space="preserve"> </w:t>
      </w:r>
      <w:r>
        <w:rPr>
          <w:iCs/>
          <w:i/>
          <w:bCs/>
          <w:b/>
        </w:rPr>
        <w:t xml:space="preserve">their</w:t>
      </w:r>
      <w:r>
        <w:rPr>
          <w:bCs/>
          <w:b/>
        </w:rPr>
        <w:t xml:space="preserve"> </w:t>
      </w:r>
      <w:r>
        <w:rPr>
          <w:bCs/>
          <w:b/>
        </w:rPr>
        <w:t xml:space="preserve">analysis domain rather than across different domains. Their sector is the region enclosed by the September 15% sea ice contour. Reproducing that definition in our model gives an area within 2.5% of theirs, so the comparison is like-for-like. Restricting the integration to the ice-covered sector raises the haline share, as expected, moving the thermal fraction of the dense-class transformation from 69% to 61% and roughly doubling the sea ice contribution at the transformation maximum from 0.86 to 1.84 Sv (Fig. ).</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iCs/>
          <w:i/>
        </w:rPr>
        <w:t xml:space="preserve">Figure R1.1 (manuscript Fig. 8). Transformation integrated south of 60°S, the domain used in the submitted version (top row), and over the seasonal sea ice zone alone, which reproduces the domain of Pellichero et al. (2018) to within 2.5% in area (bottom row). The thermal share at the transformation maximum and the area of each domain are given in each panel. The haline share increases in the restricted domain, as expected, but the contrast between thermally dominated interglacials and haline dominated glacials is unchanged.</w:t>
      </w:r>
    </w:p>
    <w:p>
      <w:pPr>
        <w:pStyle w:val="BodyText"/>
      </w:pPr>
      <w:r>
        <w:rPr>
          <w:color w:val="0000CC"/>
          <w:bCs/>
          <w:b/>
        </w:rPr>
        <w:t xml:space="preserve">Second, and more importantly, the density range matters more than the domain. Converting our simulated surface properties to the neutral density coordinate used in that study, our thermally dominated maximum sits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their haline-dominated lower cell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In the densest classes our surface fluxes do populate (σ</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already haline dominated, with 0.79 Sv from sea ice against 0.06 Sv from heat. The two analyses are therefore largely describing different water masses, and where they overlap they agree in sign.</w:t>
      </w:r>
    </w:p>
    <w:p>
      <w:pPr>
        <w:pStyle w:val="BodyText"/>
      </w:pPr>
      <w:r>
        <w:rPr>
          <w:color w:val="0000CC"/>
          <w:bCs/>
          <w:b/>
        </w:rPr>
        <w:t xml:space="preserve">Third, we now state the residual model limitation explicitly rather than alluding to it. We diagnosed directly where the model forms its dense water (Fig. ).</w:t>
      </w:r>
    </w:p>
    <w:p>
      <w:pPr>
        <w:pStyle w:val="BodyText"/>
      </w:pPr>
      <w:r>
        <w:drawing>
          <wp:inline>
            <wp:extent cx="5334000" cy="2743199"/>
            <wp:effectExtent b="0" l="0" r="0" t="0"/>
            <wp:docPr descr="" title="" id="25" name="Picture"/>
            <a:graphic>
              <a:graphicData uri="http://schemas.openxmlformats.org/drawingml/2006/picture">
                <pic:pic>
                  <pic:nvPicPr>
                    <pic:cNvPr descr="/work/ba1066/a270064/cc_projects/aabw_5exps/nc_paper/SUBMISSION/letter_figs/figR6_convection_sites.png" id="2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iCs/>
          <w:i/>
        </w:rPr>
        <w:t xml:space="preserve">Figure R1.2 (new analysis). (a–e) Winter mixed layer depth for the five states, with the 400 m contour in orange. (f) In the pre-industrial state the Weddell sector accounts for 70% of the area with a mixed layer deeper than 400 m and 97% of the area deeper than 600 m, centred near 68°S in the interior of the gyre rather than over the shelf. (g) The deep-convection area contracts to roughly one fifth of its pre-industrial value in the glacial states. (h) The deepest winter mixed layer shoals from 991 m in PI to 819 m and 645 m in the glacials.</w:t>
      </w:r>
    </w:p>
    <w:p>
      <w:pPr>
        <w:pStyle w:val="BodyText"/>
      </w:pPr>
      <w:r>
        <w:rPr>
          <w:color w:val="0000CC"/>
          <w:bCs/>
          <w:b/>
        </w:rPr>
        <w:t xml:space="preserve">This is open-ocean convection, not the shelf overflow pathway that operates in the real ocean. We note in the revised Discussion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t xml:space="preserve">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w:t>
      </w:r>
    </w:p>
    <w:p>
      <w:pPr>
        <w:pStyle w:val="BodyText"/>
      </w:pPr>
      <w:r>
        <w:t xml:space="preserve">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Added. Table 1 of the revised Methods now lists the greenhouse gas concentrations, orbital parameters and ice sheet configuration for all five experiments; the values are those actually used in the runs, read from the model configuration files. We have also expanded the surrounding text to describe how GLAC-1D enters the model, which we agree was underspecified:</w:t>
      </w:r>
    </w:p>
    <w:p>
      <w:pPr>
        <w:pStyle w:val="BodyText"/>
      </w:pPr>
      <w:r>
        <w:rPr>
          <w:color w:val="0000CC"/>
          <w:bCs/>
          <w:b/>
        </w:rPr>
        <w:t xml:space="preserve">extit“The GLAC-1D reconstruction enters the model through several boundary fields simultaneously. It sets the ice sheet extent and surface elevation and the associated land-sea mask and orography used by the atmosphere and land-surface components, the river routing, and the vegetation distribution. It also determines the ocean bathymetry and coastline, which requires a dedicated unstructured ocean mesh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configuration does not include ice shelf cavities, so basal melt beneath floating ice shelves is not represented.”</w:t>
      </w:r>
    </w:p>
    <w:p>
      <w:pPr>
        <w:pStyle w:val="BodyText"/>
      </w:pPr>
      <w:r>
        <w:t xml:space="preserve">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w:t>
      </w:r>
    </w:p>
    <w:p>
      <w:pPr>
        <w:pStyle w:val="BodyText"/>
      </w:pPr>
      <w:r>
        <w:t xml:space="preserve">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Addressed in the Discussion, as described above. We additionally discuss two limitations that bear on the interpretation. The first is the glacial wind field: our simulated westerlies shift poleward and strengthen, whereas proxy reconstructions infer an equatorward shift of about 4.8° and a weakening of about 25% at the Last Glacial Maximum relative to the mid-Holocene (Gray et al., 2023). The second is that the ideal age fields are not fully equilibrated after 1000 years, so the simulated ages are lower bounds. Both are now stated in the text.</w:t>
      </w:r>
    </w:p>
    <w:p>
      <w:pPr>
        <w:pStyle w:val="BodyText"/>
      </w:pPr>
      <w:r>
        <w:t xml:space="preserve">Figure labelling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We are happy to add complete labelling if the reviewer prefers.</w:t>
      </w:r>
    </w:p>
    <w:bookmarkEnd w:id="27"/>
    <w:bookmarkStart w:id="37" w:name="specific-comments"/>
    <w:p>
      <w:pPr>
        <w:pStyle w:val="Heading2"/>
      </w:pPr>
      <w:r>
        <w:t xml:space="preserve">Specific comments</w:t>
      </w:r>
    </w:p>
    <w:p>
      <w:pPr>
        <w:pStyle w:val="FirstParagraph"/>
      </w:pPr>
      <w:r>
        <w:t xml:space="preserve">1. ' LIG, LGM and MIS should be capitalised.</w:t>
      </w:r>
    </w:p>
    <w:p>
      <w:pPr>
        <w:pStyle w:val="BodyText"/>
      </w:pPr>
      <w:r>
        <w:rPr>
          <w:color w:val="0000CC"/>
          <w:bCs/>
          <w:b/>
        </w:rPr>
        <w:t xml:space="preserve">Corrected throughout.</w:t>
      </w:r>
    </w:p>
    <w:p>
      <w:pPr>
        <w:pStyle w:val="BodyText"/>
      </w:pPr>
      <w:r>
        <w:t xml:space="preserve">2. Line 21-22: The transition to SAM is quite abrupt.</w:t>
      </w:r>
    </w:p>
    <w:p>
      <w:pPr>
        <w:pStyle w:val="BodyText"/>
      </w:pPr>
      <w:r>
        <w:rPr>
          <w:color w:val="0000CC"/>
          <w:iCs/>
          <w:i/>
          <w:bCs/>
          <w:b/>
        </w:rPr>
        <w:t xml:space="preserve">The abstract now introduces the Southern Annular Mode through the mechanism that connects it to the mean state In the revised manuscript this now reads: “Because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 noting that because the balance between the thermal and haline pathways is set by how much of the surface is ice covered, it also governs the response to internal atmospheric variability.</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The abstract now reads that the mode works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iCs/>
          <w:i/>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 In the revised manuscript this now reads: “Weaker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iCs/>
          <w:i/>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 In the revised manuscript this now reads: “The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to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iCs/>
          <w:i/>
          <w:bCs/>
          <w:b/>
        </w:rPr>
        <w:t xml:space="preserve">Rephrased to “are strongly reduced and become confined to narrow coastal bands and polynyas”, and we now quantify the reduction rather than describing it qualitatively. In the revised manuscript this now reads: “The reduction is substantial rather than complete. Summed south of 55°S, the area with a winter mixed layer deeper than 400 m falls from 7.510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PI to 1.710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LGM and 1.610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MIS3, and the maximum mixed-layer depth decreases from 991 m to 819 m and 645 m. Mixed layers deeper than 600 m, which cover 2.410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PI to 1.7×10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LGM and 1.6×10</w:t>
      </w:r>
      <w:r>
        <w:rPr>
          <w:vertAlign w:val="superscript"/>
          <w:bCs/>
          <w:b/>
        </w:rPr>
        <w:t xml:space="preserve">11</w:t>
      </w:r>
      <w:r>
        <w:rPr>
          <w:bCs/>
          <w:b/>
        </w:rPr>
        <w:t xml:space="preserve"> </w:t>
      </w:r>
      <w:r>
        <w:rPr>
          <w:bCs/>
          <w:b/>
        </w:rPr>
        <w:t xml:space="preserve">m</w:t>
      </w:r>
      <w:r>
        <w:rPr>
          <w:vertAlign w:val="superscript"/>
          <w:bCs/>
          <w:b/>
        </w:rPr>
        <w:t xml:space="preserve">2</w:t>
      </w:r>
      <w:r>
        <w:rPr>
          <w:bCs/>
          <w:b/>
        </w:rPr>
        <w:t xml:space="preserve"> </w:t>
      </w:r>
      <w:r>
        <w:rPr>
          <w:bCs/>
          <w:b/>
        </w:rPr>
        <w:t xml:space="preserve">in MIS3, the maximum mixed-layer depth decreases from 991 m to 819 m and 645 m, and mixed layers deeper than 600 m essentially disappear in both glacial states. Panels (g) and (h) of Fig. make the point quantitatively, so the reviewer's reading of the shading is correct and is now reflected in the text.</w:t>
      </w:r>
    </w:p>
    <w:p>
      <w:pPr>
        <w:pStyle w:val="BodyText"/>
      </w:pPr>
      <w:r>
        <w:drawing>
          <wp:inline>
            <wp:extent cx="5334000" cy="5102086"/>
            <wp:effectExtent b="0" l="0" r="0" t="0"/>
            <wp:docPr descr="" title="" id="29" name="Picture"/>
            <a:graphic>
              <a:graphicData uri="http://schemas.openxmlformats.org/drawingml/2006/picture">
                <pic:pic>
                  <pic:nvPicPr>
                    <pic:cNvPr descr="/work/ba1066/a270064/cc_projects/aabw_5exps/nc_paper/SUBMISSION/letter_figs/figR7_mld_glacial_zoom.png" id="30" name="Picture"/>
                    <pic:cNvPicPr>
                      <a:picLocks noChangeArrowheads="1" noChangeAspect="1"/>
                    </pic:cNvPicPr>
                  </pic:nvPicPr>
                  <pic:blipFill>
                    <a:blip r:embed="rId28"/>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iCs/>
          <w:i/>
        </w:rPr>
        <w:t xml:space="preserve">Figure R1.5 (new supplementary panel). LGM and MIS3 winter mixed layer depth on the original 0–400 m scale (top) and on a tightened 0–300 m scale with the 200 m contour marked (bottom). The 99th percentile of the glacial winter mixed layer south of 55°S is only 280 m (LGM) and 296 m (MIS3), so the shared interglacial scale leaves the glacial panels almost featureless. The tightened scale resolves discrete deep cells along the coast, which is where the glacial dense water is produced.</w:t>
      </w:r>
    </w:p>
    <w:p>
      <w:pPr>
        <w:pStyle w:val="BodyText"/>
      </w:pPr>
      <w:r>
        <w:t xml:space="preserve">11. Line 134-141: Fig.1 i-l subpanels are not discussed at all.</w:t>
      </w:r>
    </w:p>
    <w:p>
      <w:pPr>
        <w:pStyle w:val="BodyText"/>
      </w:pPr>
      <w:r>
        <w:rPr>
          <w:color w:val="0000CC"/>
          <w:iCs/>
          <w:i/>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 In the revised manuscript this now reads: “The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as described in our reply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The mechanism the reviewer proposes is real, but it belongs to the last interglacial rather than to the glacial states the comment refers to. Averaged between 60 and 75°S in winter, the glacial sea ice response is fairly uniform around the continent: concentration rises by 0.62 in the Ross sector, 0.70 in the Weddell sector and 0.53 in the Adélie sector at the Last Glacial Maximum, and all three cool to within about 0.1 K of the surface freezing point, so ice growth is not limited by surface heat content anywhere. The Ross sector separates from the others only in the last interglacial, where it is 0.97 K warmer than in PI, sits 2.72 K above the freezing point against changes below 0.3 K elsewhere, and loses 0.19 of its winter ice concentration. There the wind exports ice efficiently but the water is too far from freezing for it to be replaced, which is precisely the reviewer's proposed mechanism (Fig. ). We have rewritten the passage accordingly, rather than attributing the behaviour to the glacial wind response as the submitted version implied.</w:t>
      </w:r>
    </w:p>
    <w:p>
      <w:pPr>
        <w:pStyle w:val="BodyText"/>
      </w:pPr>
      <w:r>
        <w:drawing>
          <wp:inline>
            <wp:extent cx="5334000" cy="1600200"/>
            <wp:effectExtent b="0" l="0" r="0" t="0"/>
            <wp:docPr descr="" title="" id="32" name="Picture"/>
            <a:graphic>
              <a:graphicData uri="http://schemas.openxmlformats.org/drawingml/2006/picture">
                <pic:pic>
                  <pic:nvPicPr>
                    <pic:cNvPr descr="/work/ba1066/a270064/cc_projects/aabw_5exps/nc_paper/SUBMISSION/letter_figs/figR9_ross_sector.png" id="33" name="Picture"/>
                    <pic:cNvPicPr>
                      <a:picLocks noChangeArrowheads="1" noChangeAspect="1"/>
                    </pic:cNvPicPr>
                  </pic:nvPicPr>
                  <pic:blipFill>
                    <a:blip r:embed="rId31"/>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iCs/>
          <w:i/>
        </w:rPr>
        <w:t xml:space="preserve">Figure R1.4 (new analysis). (a)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iCs/>
          <w:i/>
          <w:bCs/>
          <w:b/>
        </w:rPr>
        <w:t xml:space="preserve">Added. The thermal term accounts for 70–85% of the total at the transformation maximum in the interglacials, against 15–30% for the haline term, and falls to 12–17% in the glacial states. In the revised manuscript this now reads: “This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w:t>
      </w:r>
      <w:r>
        <w:rPr>
          <w:vertAlign w:val="subscript"/>
          <w:iCs/>
          <w:i/>
          <w:bCs/>
          <w:b/>
        </w:rPr>
        <w:t xml:space="preserve">2</w:t>
      </w:r>
      <w:r>
        <w:rPr>
          <w:iCs/>
          <w:i/>
          <w:bCs/>
          <w:b/>
        </w:rPr>
        <w:t xml:space="preserve"> </w:t>
      </w:r>
      <w:r>
        <w:rPr>
          <w:iCs/>
          <w:i/>
          <w:bCs/>
          <w:b/>
        </w:rPr>
        <w:t xml:space="preserve">37.0 kg m</w:t>
      </w:r>
      <w:r>
        <w:rPr>
          <w:vertAlign w:val="superscript"/>
          <w:iCs/>
          <w:i/>
          <w:bCs/>
          <w:b/>
        </w:rPr>
        <w:t xml:space="preserve">-3</w:t>
      </w:r>
      <w:r>
        <w:rPr>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reproduced as Fig. below, shows the same transformation curves on common vertical and horizontal axes.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35" name="Picture"/>
            <a:graphic>
              <a:graphicData uri="http://schemas.openxmlformats.org/drawingml/2006/picture">
                <pic:pic>
                  <pic:nvPicPr>
                    <pic:cNvPr descr="/work/ba1066/a270064/cc_projects/aabw_5exps/nc_paper/SUBMISSION/letter_figs/figS_common_axis-1.png" id="36" name="Picture"/>
                    <pic:cNvPicPr>
                      <a:picLocks noChangeArrowheads="1" noChangeAspect="1"/>
                    </pic:cNvPicPr>
                  </pic:nvPicPr>
                  <pic:blipFill>
                    <a:blip r:embed="rId34"/>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iCs/>
          <w:i/>
        </w:rPr>
        <w:t xml:space="preserve">Figure R1.3 (new Supplementary Fig. S5). 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w:t>
      </w:r>
    </w:p>
    <w:p>
      <w:pPr>
        <w:pStyle w:val="BodyText"/>
      </w:pPr>
      <w:r>
        <w:rPr>
          <w:color w:val="0000CC"/>
          <w:bCs/>
          <w:b/>
        </w:rPr>
        <w:t xml:space="preserve">extit“We refer throughout to the thermal density tendency, meaning the surface density change produced by the net heat flux acting through the thermal expansion coefficient, and to the sea-ice-driven density tendency, meaning the part of the haline term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it is shown in Fig. above.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This also explains the pattern the reviewer noticed: the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with the mechanism stated as a sequence: strengthened and poleward-shifted westerlies increase offshore Ekman transport of sea ice, which opens coastal polynyas, which exposes water at the freezing point to the atmosphere and sustains rapid new ice growth, which concentrates brine locally while the exported ice carries the compensating freshwater away to melt further north. References added.</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 above. We report the published values directly in the Discussion, including the 5 ± 5 Sv transformation into denser classes and the stated factor of 2–5 by which the freshwater term exceeds the heat term in their sector, and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iCs/>
          <w:i/>
          <w:bCs/>
          <w:b/>
        </w:rPr>
        <w:t xml:space="preserve">Added. The glacial transformation maximum weakens to below 60 Sv and moves to σ</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with the thermal share falling to 12–17%. In the revised manuscript this now reads: “The winter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iCs/>
          <w:i/>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 In the revised manuscript this now reads: “This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therefore replaced the proposal with a statement of the difficulty, and now present the persistence of the coupling as a property of the simulated system rather than as a practical route to a marine reconstruction.</w:t>
      </w:r>
    </w:p>
    <w:p>
      <w:pPr>
        <w:pStyle w:val="BodyText"/>
      </w:pPr>
      <w:r>
        <w:t xml:space="preserve">30. Section 4.1: Please define the full names of the abbreviated components</w:t>
      </w:r>
    </w:p>
    <w:p>
      <w:pPr>
        <w:pStyle w:val="BodyText"/>
      </w:pPr>
      <w:r>
        <w:rPr>
          <w:color w:val="0000CC"/>
          <w:iCs/>
          <w:i/>
          <w:bCs/>
          <w:b/>
        </w:rPr>
        <w:t xml:space="preserve">Done. The Methods now spell out that the radiative component is the sum of the shortwave and longwave fluxes and the turbulent component the sum of the latent and sensible heat fluxes. In the revised manuscript this now reads: “In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of the revised manuscript; please see our reply to the general comment on boundary conditions above.</w:t>
      </w:r>
    </w:p>
    <w:bookmarkEnd w:id="37"/>
    <w:bookmarkEnd w:id="38"/>
    <w:bookmarkStart w:id="52" w:name="reviewer-2"/>
    <w:p>
      <w:pPr>
        <w:pStyle w:val="Heading1"/>
      </w:pPr>
      <w:r>
        <w:t xml:space="preserve">Reviewer #2</w:t>
      </w:r>
    </w:p>
    <w:p>
      <w:pPr>
        <w:pStyle w:val="FirstParagraph"/>
      </w:pPr>
      <w:r>
        <w:t xml:space="preserve">General</w:t>
      </w:r>
    </w:p>
    <w:p>
      <w:pPr>
        <w:pStyle w:val="BodyText"/>
      </w:pPr>
      <w:r>
        <w:t xml:space="preserve">This study uses the Water Mass transformation (WMT) framework to perform an analysis of the buoyancy forcing in the Southern Ocean under conditions corresponding to paleo scenarios (Last glacial maximum, Pre-industrial, also MIS3 and mid-Holocene). It uses a single model, the AWI-ESM.</w:t>
      </w:r>
    </w:p>
    <w:p>
      <w:pPr>
        <w:pStyle w:val="BodyText"/>
      </w:pPr>
      <w:r>
        <w:t xml:space="preserve">The model is quite impressive in that it gets a believable-looking circulation for the glacial simulations, with dense AABW that has an old ventilation age, and the main point of the paper is that this is achieved by a shift from thermally-driven bouyancy forcing in the Southern Ocean under inter-glacial situations, to freshwater-salt-driven by ice formation processes in glacial times.</w:t>
      </w:r>
    </w:p>
    <w:p>
      <w:pPr>
        <w:pStyle w:val="BodyText"/>
      </w:pPr>
      <w:r>
        <w:t xml:space="preserve">Though the WMT analysis was introduced over 40 years ago, it has enjoyed renewed attention more cecently. It has been increasingly used for novel studies and tools have become available to apply it to numerical model outputs, decomposing them into haline and thermal forcing. This is the first time I have seen it used in the context of a paleo model and potentially it adds explanatory power to the narrative of increased sea-ice buoyancy forcing in glacial time.</w:t>
      </w:r>
    </w:p>
    <w:p>
      <w:pPr>
        <w:pStyle w:val="BodyText"/>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and we address them in turn below.</w:t>
      </w:r>
    </w:p>
    <w:bookmarkStart w:id="49" w:name="major-issue-1"/>
    <w:p>
      <w:pPr>
        <w:pStyle w:val="Heading2"/>
      </w:pPr>
      <w:r>
        <w:t xml:space="preserve">Major issue 1</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moves the partition in the direction they report: the thermal share of the dense-class transformation falls from 69% to 61%, and the sea ice contribution at the transformation maximum roughly doubles from 0.86 to 1.84 Sv.</w:t>
      </w:r>
    </w:p>
    <w:p>
      <w:pPr>
        <w:pStyle w:val="BodyText"/>
      </w:pPr>
      <w:r>
        <w:drawing>
          <wp:inline>
            <wp:extent cx="5334000" cy="2011679"/>
            <wp:effectExtent b="0" l="0" r="0" t="0"/>
            <wp:docPr descr="" title="" id="40" name="Picture"/>
            <a:graphic>
              <a:graphicData uri="http://schemas.openxmlformats.org/drawingml/2006/picture">
                <pic:pic>
                  <pic:nvPicPr>
                    <pic:cNvPr descr="/work/ba1066/a270064/cc_projects/aabw_5exps/nc_paper/SUBMISSION/letter_figs/figR8_domain_map.png" id="41" name="Picture"/>
                    <pic:cNvPicPr>
                      <a:picLocks noChangeArrowheads="1" noChangeAspect="1"/>
                    </pic:cNvPicPr>
                  </pic:nvPicPr>
                  <pic:blipFill>
                    <a:blip r:embed="rId39"/>
                    <a:stretch>
                      <a:fillRect/>
                    </a:stretch>
                  </pic:blipFill>
                  <pic:spPr bwMode="auto">
                    <a:xfrm>
                      <a:off x="0" y="0"/>
                      <a:ext cx="5334000" cy="2011679"/>
                    </a:xfrm>
                    <a:prstGeom prst="rect">
                      <a:avLst/>
                    </a:prstGeom>
                    <a:noFill/>
                    <a:ln w="9525">
                      <a:noFill/>
                      <a:headEnd/>
                      <a:tailEnd/>
                    </a:ln>
                  </pic:spPr>
                </pic:pic>
              </a:graphicData>
            </a:graphic>
          </wp:inline>
        </w:drawing>
      </w:r>
    </w:p>
    <w:p>
      <w:pPr>
        <w:pStyle w:val="BodyText"/>
      </w:pPr>
      <w:r>
        <w:rPr>
          <w:iCs/>
          <w:i/>
        </w:rPr>
        <w:t xml:space="preserve">Figure R2.1 (new analysis). (a) The domain used in the submitted manuscript, everything south of 60°S, covering 2.07×10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(b) The seasonal sea ice zone of the model, inside the September 15% contour, which is the definition Pellichero et al. use, covering 1.22×10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(c) The two overlaid. The orange ring lies inside our domain but outside the ice zone: it is 42.7% of the area we integrated over, it is open water all year, and it is water their analysis does not include.</w:t>
      </w:r>
    </w:p>
    <w:p>
      <w:pPr>
        <w:pStyle w:val="BodyText"/>
      </w:pPr>
      <w:r>
        <w:drawing>
          <wp:inline>
            <wp:extent cx="5334000" cy="2185606"/>
            <wp:effectExtent b="0" l="0" r="0" t="0"/>
            <wp:docPr descr="" title="" id="42" name="Picture"/>
            <a:graphic>
              <a:graphicData uri="http://schemas.openxmlformats.org/drawingml/2006/picture">
                <pic:pic>
                  <pic:nvPicPr>
                    <pic:cNvPr descr="/work/ba1066/a270064/cc_projects/aabw_5exps/nc_paper/SUBMISSION/letter_figs/figR1_wmt_domain_sensitivity.png" id="4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iCs/>
          <w:i/>
        </w:rPr>
        <w:t xml:space="preserve">Figure R2.2 (manuscript Fig. 8). Transformation integrated south of 60°S, the domain used in the submitted version (top row), and over the seasonal sea ice zone alone, which reproduces the domain of Pellichero et al. (2018)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(σ</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w:t>
      </w:r>
    </w:p>
    <w:p>
      <w:pPr>
        <w:pStyle w:val="BodyText"/>
      </w:pPr>
      <w:r>
        <w:drawing>
          <wp:inline>
            <wp:extent cx="5334000" cy="2743199"/>
            <wp:effectExtent b="0" l="0" r="0" t="0"/>
            <wp:docPr descr="" title="" id="44" name="Picture"/>
            <a:graphic>
              <a:graphicData uri="http://schemas.openxmlformats.org/drawingml/2006/picture">
                <pic:pic>
                  <pic:nvPicPr>
                    <pic:cNvPr descr="/work/ba1066/a270064/cc_projects/aabw_5exps/nc_paper/SUBMISSION/letter_figs/figR6_convection_sites.png" id="45"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iCs/>
          <w:i/>
        </w:rPr>
        <w:t xml:space="preserve">Figure R2.3 (new analysis). Where the model actually convects. (a–e) Winter mixed layer depth, 400 m contour in orange. (f) In the pre-industrial state 70% of the area with a mixed layer deeper than 400 m, and 97% of the area deeper than 600 m, lies in the Weddell sector, centred near 68°S in the open gyre rather than over the shelf. (g, h) The deep-convection area and the maximum mixed layer depth both contract sharply in the glacial states.</w:t>
      </w:r>
    </w:p>
    <w:p>
      <w:pPr>
        <w:pStyle w:val="BodyText"/>
      </w:pPr>
      <w:r>
        <w:rPr>
          <w:color w:val="0000CC"/>
          <w:bCs/>
          <w:b/>
        </w:rPr>
        <w:t xml:space="preserve">Open-ocean convection exposes a large area to the atmosphere and so recruits an excessive thermal contribution while producing water that is not dense enough, which is precisely the offset in density class described above. 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 What such a model would change is the density and the geographic origin of the resulting water, not the direction of the shift in the surface buoyancy budget. The consequences for the large-scale circulation are visible in the overturning itself.</w:t>
      </w:r>
    </w:p>
    <w:p>
      <w:pPr>
        <w:pStyle w:val="BodyText"/>
      </w:pPr>
      <w:r>
        <w:drawing>
          <wp:inline>
            <wp:extent cx="5334000" cy="2387599"/>
            <wp:effectExtent b="0" l="0" r="0" t="0"/>
            <wp:docPr descr="" title="" id="47" name="Picture"/>
            <a:graphic>
              <a:graphicData uri="http://schemas.openxmlformats.org/drawingml/2006/picture">
                <pic:pic>
                  <pic:nvPicPr>
                    <pic:cNvPr descr="/work/ba1066/a270064/cc_projects/aabw_5exps/nc_paper/SUBMISSION/letter_figs/figR2_moc_5exps.png" id="48" name="Picture"/>
                    <pic:cNvPicPr>
                      <a:picLocks noChangeArrowheads="1" noChangeAspect="1"/>
                    </pic:cNvPicPr>
                  </pic:nvPicPr>
                  <pic:blipFill>
                    <a:blip r:embed="rId46"/>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iCs/>
          <w:i/>
        </w:rPr>
        <w:t xml:space="preserve">Figure R2.4 (manuscript Fig. 6). 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w:t>
      </w:r>
    </w:p>
    <w:p>
      <w:pPr>
        <w:pStyle w:val="BodyText"/>
      </w:pPr>
      <w:r>
        <w:rPr>
          <w:color w:val="0000CC"/>
          <w:bCs/>
          <w:b/>
        </w:rPr>
        <w:t xml:space="preserve">We have adjusted the framing of the paper accordingly, so that the claim is about the partitioning of surface buoyancy forcing and its state dependence rather than about bottom water formation rates.</w:t>
      </w:r>
    </w:p>
    <w:bookmarkEnd w:id="49"/>
    <w:bookmarkStart w:id="50" w:name="major-issue-2"/>
    <w:p>
      <w:pPr>
        <w:pStyle w:val="Heading2"/>
      </w:pPr>
      <w:r>
        <w:t xml:space="preserve">Major issue 2</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 We have phrased this in the manuscript as the present analysis testing and quantifying the mechanism Chen et al. proposed, rather than as a claim that they missed something.</w:t>
      </w:r>
    </w:p>
    <w:bookmarkEnd w:id="50"/>
    <w:bookmarkStart w:id="51"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w:t>
      </w:r>
    </w:p>
    <w:p>
      <w:pPr>
        <w:pStyle w:val="BodyText"/>
      </w:pPr>
      <w:r>
        <w:rPr>
          <w:color w:val="0000CC"/>
          <w:bCs/>
          <w:b/>
        </w:rPr>
        <w:t xml:space="preserve">extit“At this resolution the larger coastal polynyas are represented as features, but the boundary layer processes that set polynya dynamics are not resolved. Sea ice growth and melt are computed thermodynamically at each surface node, and the associated brine release enters the ocean as a salt flux at that node, so the brine signal appears wherever the model forms ice; its intensity, however, depends on the simulated wind-driven ice divergence rather than on a resolved polynya circulation. The configuration does not include ice shelf cavities, so the ocean beneath floating ice shelves, and the basal melt it supplies, are absent from the simulations.”</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(Fig. g). We now state that our glacial result depends on that simulated expansion being realistic, and that while proxy reconstructions support the direction of the change, the quantitative agreement remains uncertain.</w:t>
      </w:r>
    </w:p>
    <w:p>
      <w:pPr>
        <w:pStyle w:val="BodyText"/>
      </w:pPr>
      <w:r>
        <w:t xml:space="preserve">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 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 We have kept the native units in the figures themselves, which are now supplementary, because the heat and freshwater fields are what the model diagnoses and readers may wish to compare them against other studies in conventional units. If the reviewer would prefer the figures recast in buoyancy units, we will do so.</w:t>
      </w:r>
    </w:p>
    <w:bookmarkEnd w:id="51"/>
    <w:bookmarkEnd w:id="52"/>
    <w:bookmarkStart w:id="69"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p>
      <w:pPr>
        <w:pStyle w:val="BodyText"/>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w:t>
      </w:r>
    </w:p>
    <w:p>
      <w:pPr>
        <w:pStyle w:val="BodyText"/>
      </w:pPr>
      <w:r>
        <w:t xml:space="preserve">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 We confirmed the reviewer's suspicion diagnostically.</w:t>
      </w:r>
    </w:p>
    <w:p>
      <w:pPr>
        <w:pStyle w:val="BodyText"/>
      </w:pPr>
      <w:r>
        <w:drawing>
          <wp:inline>
            <wp:extent cx="5334000" cy="2743199"/>
            <wp:effectExtent b="0" l="0" r="0" t="0"/>
            <wp:docPr descr="" title="" id="53" name="Picture"/>
            <a:graphic>
              <a:graphicData uri="http://schemas.openxmlformats.org/drawingml/2006/picture">
                <pic:pic>
                  <pic:nvPicPr>
                    <pic:cNvPr descr="/work/ba1066/a270064/cc_projects/aabw_5exps/nc_paper/SUBMISSION/letter_figs/figR6_convection_sites.png" id="54"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iCs/>
          <w:i/>
        </w:rPr>
        <w:t xml:space="preserve">Figure R3.1 (new analysis). (a–e) Winter mixed layer depth with the 400 m contour in orange. (f) The pre-industrial sector breakdown, showing that convection is concentrated in the Weddell gyre interior near 68°S rather than on the shelf, which is the bias the reviewer identified. (g, h) The glacial contraction of both the deep-convection area and the maximum mixed-layer depth.</w:t>
      </w:r>
    </w:p>
    <w:p>
      <w:pPr>
        <w:pStyle w:val="BodyText"/>
      </w:pPr>
      <w:r>
        <w:rPr>
          <w:color w:val="0000CC"/>
          <w:bCs/>
          <w:b/>
        </w:rPr>
        <w:t xml:space="preserve">In the pre-industrial simulation the Weddell sector accounts for 70% of the area with a winter mixed layer deeper than 400 m south of 55°S and 97% of the area deeper than 600 m, centred near 68°S in the interior of the gyre rather than over the continental shelf. 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*In the discussion (lines 302 - 305) you mention the difference between your results in the PI (thermally dominated) and the observations (salinity dominated) may come from assessing different regions. This could be tested by comparing your method only in the regions with observations. Alternatively you could apply the WMT framework to a reanalysis product e.g. Glorys, across the Southern Ocean to provide an 'observational' estimate similar to your PI analysis. https://data.marine.copernicus.eu/product/GLOBAL</w:t>
      </w:r>
      <w:r>
        <w:rPr>
          <w:vertAlign w:val="subscript"/>
        </w:rPr>
        <w:t xml:space="preserve">M</w:t>
      </w:r>
      <w:r>
        <w:t xml:space="preserve">ULTIYEAR</w:t>
      </w:r>
      <w:r>
        <w:rPr>
          <w:vertAlign w:val="subscript"/>
        </w:rPr>
        <w:t xml:space="preserve">P</w:t>
      </w:r>
      <w:r>
        <w:t xml:space="preserve">HY</w:t>
      </w:r>
      <w:r>
        <w:rPr>
          <w:vertAlign w:val="subscript"/>
        </w:rPr>
        <w:t xml:space="preserve">0</w:t>
      </w:r>
      <w:r>
        <w:t xml:space="preserve">01</w:t>
      </w:r>
      <w:r>
        <w:rPr>
          <w:vertAlign w:val="subscript"/>
        </w:rPr>
        <w:t xml:space="preserve">0</w:t>
      </w:r>
      <w:r>
        <w:t xml:space="preserve">30/description</w:t>
      </w:r>
    </w:p>
    <w:p>
      <w:pPr>
        <w:pStyle w:val="BodyText"/>
      </w:pPr>
      <w:r>
        <w:rPr>
          <w:color w:val="0000CC"/>
          <w:bCs/>
          <w:b/>
        </w:rPr>
        <w:t xml:space="preserve">We took the first of these suggestions. In summary: 42.7% of our published domain lies outside the September sea ice edge; restricting to their domain moves the thermal share of dense-class transformation from 69% to 61%; and, more importantly, our thermally dominated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t>
      </w:r>
      <w:r>
        <w:rPr>
          <w:bCs/>
          <w:b/>
        </w:rPr>
        <w:t xml:space="preserve">while their haline-dominated cell occupies γ</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so the two analyses largely concern different water masses. In the densest classes we do populate, our result is haline dominated and therefore agrees with theirs.</w:t>
      </w:r>
    </w:p>
    <w:p>
      <w:pPr>
        <w:pStyle w:val="BodyText"/>
      </w:pPr>
      <w:r>
        <w:drawing>
          <wp:inline>
            <wp:extent cx="5334000" cy="2185606"/>
            <wp:effectExtent b="0" l="0" r="0" t="0"/>
            <wp:docPr descr="" title="" id="55" name="Picture"/>
            <a:graphic>
              <a:graphicData uri="http://schemas.openxmlformats.org/drawingml/2006/picture">
                <pic:pic>
                  <pic:nvPicPr>
                    <pic:cNvPr descr="/work/ba1066/a270064/cc_projects/aabw_5exps/nc_paper/SUBMISSION/letter_figs/figR1_wmt_domain_sensitivity.png" id="56"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iCs/>
          <w:i/>
        </w:rPr>
        <w:t xml:space="preserve">Figure R3.2 (manuscript Fig. 8). 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(Fig. ).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 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t xml:space="preserve">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58" name="Picture"/>
            <a:graphic>
              <a:graphicData uri="http://schemas.openxmlformats.org/drawingml/2006/picture">
                <pic:pic>
                  <pic:nvPicPr>
                    <pic:cNvPr descr="/work/ba1066/a270064/cc_projects/aabw_5exps/nc_paper/SUBMISSION/letter_figs/figR4_sam_push_pull.png" id="59" name="Picture"/>
                    <pic:cNvPicPr>
                      <a:picLocks noChangeArrowheads="1" noChangeAspect="1"/>
                    </pic:cNvPicPr>
                  </pic:nvPicPr>
                  <pic:blipFill>
                    <a:blip r:embed="rId57"/>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iCs/>
          <w:i/>
        </w:rPr>
        <w:t xml:space="preserve">Figure R3.3 (new Supplementary Figure). (a)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61" name="Picture"/>
            <a:graphic>
              <a:graphicData uri="http://schemas.openxmlformats.org/drawingml/2006/picture">
                <pic:pic>
                  <pic:nvPicPr>
                    <pic:cNvPr descr="/work/ba1066/a270064/cc_projects/aabw_5exps/nc_paper/SUBMISSION/letter_figs/figR5_sam_wind_ice.png" id="62" name="Picture"/>
                    <pic:cNvPicPr>
                      <a:picLocks noChangeArrowheads="1" noChangeAspect="1"/>
                    </pic:cNvPicPr>
                  </pic:nvPicPr>
                  <pic:blipFill>
                    <a:blip r:embed="rId60"/>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iCs/>
          <w:i/>
        </w:rPr>
        <w:t xml:space="preserve">Figure R3.4 (new Supplementary Figure). 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A jet-position bias therefore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t xml:space="preserve">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 The overturning streamfunction, diagnosed online by the model, is now shown in the new Fig. 6.</w:t>
      </w:r>
    </w:p>
    <w:p>
      <w:pPr>
        <w:pStyle w:val="BodyText"/>
      </w:pPr>
      <w:r>
        <w:drawing>
          <wp:inline>
            <wp:extent cx="5334000" cy="2387599"/>
            <wp:effectExtent b="0" l="0" r="0" t="0"/>
            <wp:docPr descr="" title="" id="63" name="Picture"/>
            <a:graphic>
              <a:graphicData uri="http://schemas.openxmlformats.org/drawingml/2006/picture">
                <pic:pic>
                  <pic:nvPicPr>
                    <pic:cNvPr descr="/work/ba1066/a270064/cc_projects/aabw_5exps/nc_paper/SUBMISSION/letter_figs/figR2_moc_5exps.png" id="64" name="Picture"/>
                    <pic:cNvPicPr>
                      <a:picLocks noChangeArrowheads="1" noChangeAspect="1"/>
                    </pic:cNvPicPr>
                  </pic:nvPicPr>
                  <pic:blipFill>
                    <a:blip r:embed="rId46"/>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iCs/>
          <w:i/>
        </w:rPr>
        <w:t xml:space="preserve">Figure R3.5 (manuscript Fig. 6). 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 Global ideal age is now shown in the new Fig. 7, as basin-mean vertical profiles and zonal-mean sections.</w:t>
      </w:r>
    </w:p>
    <w:p>
      <w:pPr>
        <w:pStyle w:val="BodyText"/>
      </w:pPr>
      <w:r>
        <w:drawing>
          <wp:inline>
            <wp:extent cx="5334000" cy="2435086"/>
            <wp:effectExtent b="0" l="0" r="0" t="0"/>
            <wp:docPr descr="" title="" id="66" name="Picture"/>
            <a:graphic>
              <a:graphicData uri="http://schemas.openxmlformats.org/drawingml/2006/picture">
                <pic:pic>
                  <pic:nvPicPr>
                    <pic:cNvPr descr="/work/ba1066/a270064/cc_projects/aabw_5exps/nc_paper/SUBMISSION/letter_figs/figR3_age_global.png" id="67" name="Picture"/>
                    <pic:cNvPicPr>
                      <a:picLocks noChangeArrowheads="1" noChangeAspect="1"/>
                    </pic:cNvPicPr>
                  </pic:nvPicPr>
                  <pic:blipFill>
                    <a:blip r:embed="rId65"/>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iCs/>
          <w:i/>
        </w:rPr>
        <w:t xml:space="preserve">Figure R3.6 (manuscript Fig. 7). 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t xml:space="preserve">Overall, I would encourage the authors to think about what is generalisable from there results given the substantial model bias in the PI in the specific process that is being examined, or demonstrate that the bias arise from differences in the regional comparison with observations and thus apply to the real ocean.</w:t>
      </w:r>
    </w:p>
    <w:p>
      <w:pPr>
        <w:pStyle w:val="BodyText"/>
      </w:pPr>
      <w:r>
        <w:rPr>
          <w:color w:val="0000CC"/>
          <w:bCs/>
          <w:b/>
        </w:rPr>
        <w:t xml:space="preserve">We hope the combination of the domain test, the density-class comparison and the explicit statement of the convection bias now meets this request. Our position is that part of the apparent disagreement with observations is a difference of domain and density class, which we demonstrate quantitatively, and that the remainder is a real model bias, which we state plainly and whose consequences we bound. What we claim to be generalisable is narrower than in the submitted version: the response of the thermal and haline partition to changing sea ice cover, rather than the absolute rates of bottom water formation.</w:t>
      </w:r>
    </w:p>
    <w:bookmarkStart w:id="68"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L19:'in the model' needs to be clearly stated as this is not how AABW forms in the real modern ocean</w:t>
      </w:r>
    </w:p>
    <w:p>
      <w:pPr>
        <w:pStyle w:val="BodyText"/>
      </w:pPr>
      <w:r>
        <w:rPr>
          <w:color w:val="0000CC"/>
          <w:bCs/>
          <w:b/>
        </w:rPr>
        <w:t xml:space="preserve">Added to the abstract, which now reads “In the model, interglacial dense water formation 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The abstract now refers to the abyssal overturning cell and abyssal water specifically, and the new global age figure (Fig. ) covers the whole water column rather than a single level.</w:t>
      </w:r>
    </w:p>
    <w:p>
      <w:pPr>
        <w:pStyle w:val="BodyText"/>
      </w:pPr>
      <w:r>
        <w:t xml:space="preserve">L102-105: a slightly expanded intro on the SAM may be helpful</w:t>
      </w:r>
    </w:p>
    <w:p>
      <w:pPr>
        <w:pStyle w:val="BodyText"/>
      </w:pPr>
      <w:r>
        <w:rPr>
          <w:color w:val="0000CC"/>
          <w:bCs/>
          <w:b/>
        </w:rPr>
        <w:t xml:space="preserve">Expanded; please see our reply to Reviewer 1, comment 5.</w:t>
      </w:r>
    </w:p>
    <w:p>
      <w:pPr>
        <w:pStyle w:val="BodyText"/>
      </w:pPr>
      <w:r>
        <w:t xml:space="preserve">L 125: typo, more.</w:t>
      </w:r>
    </w:p>
    <w:p>
      <w:pPr>
        <w:pStyle w:val="BodyText"/>
      </w:pPr>
      <w:r>
        <w:rPr>
          <w:color w:val="0000CC"/>
          <w:bCs/>
          <w:b/>
        </w:rPr>
        <w:t xml:space="preserve">Corrected.</w:t>
      </w:r>
    </w:p>
    <w:p>
      <w:pPr>
        <w:pStyle w:val="BodyText"/>
      </w:pPr>
      <w:r>
        <w:t xml:space="preserve">L129: it would be much more useful to show the salinity minus the whole ocean change applied, to see what arises from local dynamics</w:t>
      </w:r>
    </w:p>
    <w:p>
      <w:pPr>
        <w:pStyle w:val="BodyText"/>
      </w:pPr>
      <w:r>
        <w:rPr>
          <w:color w:val="0000CC"/>
          <w:bCs/>
          <w:b/>
        </w:rPr>
        <w:t xml:space="preserve">This is a good suggestion. The glacial salinity anomalies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Agreed; the 400 m contour marks active convection rather than the depth reached by the resulting water. We now also report the 600 m statistics and the maximum mixed-layer depth (Fig. ),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Answered above, under the corresponding main comment.</w:t>
      </w:r>
    </w:p>
    <w:p>
      <w:pPr>
        <w:pStyle w:val="BodyText"/>
      </w:pPr>
      <w:r>
        <w:t xml:space="preserve">L152: it needs to be clearer that this is in the model</w:t>
      </w:r>
    </w:p>
    <w:p>
      <w:pPr>
        <w:pStyle w:val="BodyText"/>
      </w:pPr>
      <w:r>
        <w:rPr>
          <w:color w:val="0000CC"/>
          <w:bCs/>
          <w:b/>
        </w:rPr>
        <w:t xml:space="preserve">Rephrased to “the model produces deep mixed layers…”.</w:t>
      </w:r>
    </w:p>
    <w:p>
      <w:pPr>
        <w:pStyle w:val="BodyText"/>
      </w:pPr>
      <w:r>
        <w:t xml:space="preserve">L175: I wonder if this result isn't more applicable to AAIW/SAMW formation?</w:t>
      </w:r>
    </w:p>
    <w:p>
      <w:pPr>
        <w:pStyle w:val="BodyText"/>
      </w:pPr>
      <w:r>
        <w:rPr>
          <w:color w:val="0000CC"/>
          <w:bCs/>
          <w:b/>
        </w:rPr>
        <w:t xml:space="preserve">The reviewer's intuition is borne out by the density-class analysis described above. Our thermally dominated transformation maximum sits at γ</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it the real ocean freshwater input from icesheet melting is important today (i.e. Toggweiler 1995)</w:t>
      </w:r>
    </w:p>
    <w:p>
      <w:pPr>
        <w:pStyle w:val="BodyText"/>
      </w:pPr>
      <w:r>
        <w:rPr>
          <w:color w:val="0000CC"/>
          <w:iCs/>
          <w:i/>
          <w:bCs/>
          <w:b/>
        </w:rPr>
        <w:t xml:space="preserve">Added, with the explicit acknowledgement that this configuration has no ice shelf cavities and applies no prescribed meltwater flux, so that pathway is absent from our simulations. In the revised manuscript this now reads: “We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w:t>
      </w:r>
    </w:p>
    <w:p>
      <w:pPr>
        <w:pStyle w:val="BodyText"/>
      </w:pPr>
      <w:r>
        <w:t xml:space="preserve">L206-209: should be moved to the introduction maybe ?</w:t>
      </w:r>
    </w:p>
    <w:p>
      <w:pPr>
        <w:pStyle w:val="BodyText"/>
      </w:pPr>
      <w:r>
        <w:rPr>
          <w:color w:val="0000CC"/>
          <w:bCs/>
          <w:b/>
        </w:rPr>
        <w:t xml:space="preserve">Moved.</w:t>
      </w:r>
    </w:p>
    <w:p>
      <w:pPr>
        <w:pStyle w:val="BodyText"/>
      </w:pPr>
      <w:r>
        <w:t xml:space="preserve">L291-297 : this point seems fundamental to the rest of the manuscript - the PI sim doesn't seem to capture how AABW actually forms</w:t>
      </w:r>
    </w:p>
    <w:p>
      <w:pPr>
        <w:pStyle w:val="BodyText"/>
      </w:pPr>
      <w:r>
        <w:rPr>
          <w:color w:val="0000CC"/>
          <w:bCs/>
          <w:b/>
        </w:rPr>
        <w:t xml:space="preserve">Agreed; addressed at length above.</w:t>
      </w:r>
    </w:p>
    <w:p>
      <w:pPr>
        <w:pStyle w:val="BodyText"/>
      </w:pPr>
      <w:r>
        <w:t xml:space="preserve">L302 - 305 : can't you just compare you model results directly in the regions with observations to test the idea that the discrepancy comes from comparing different regions?</w:t>
      </w:r>
    </w:p>
    <w:p>
      <w:pPr>
        <w:pStyle w:val="BodyText"/>
      </w:pPr>
      <w:r>
        <w:rPr>
          <w:color w:val="0000CC"/>
          <w:bCs/>
          <w:b/>
        </w:rPr>
        <w:t xml:space="preserve">Done; please see Fig. and the accompanying discussion above.</w:t>
      </w:r>
    </w:p>
    <w:p>
      <w:pPr>
        <w:pStyle w:val="BodyText"/>
      </w:pPr>
      <w:r>
        <w:t xml:space="preserve">L339: this would be great, but sed rates around the Antarctic margin are very low - its hard enough getting cores with a glacial interglacial cycle that survives bioturbation</w:t>
      </w:r>
    </w:p>
    <w:p>
      <w:pPr>
        <w:pStyle w:val="BodyText"/>
      </w:pPr>
      <w:r>
        <w:rPr>
          <w:color w:val="0000CC"/>
          <w:bCs/>
          <w:b/>
        </w:rPr>
        <w:t xml:space="preserve">Agreed, and 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aging (mentioned just after)</w:t>
      </w:r>
    </w:p>
    <w:p>
      <w:pPr>
        <w:pStyle w:val="BodyText"/>
      </w:pPr>
      <w:r>
        <w:rPr>
          <w:color w:val="0000CC"/>
          <w:bCs/>
          <w:b/>
        </w:rPr>
        <w:t xml:space="preserve">Corrected. The text now refers to the radiocarbon age of dissolved inorganic carbon.</w:t>
      </w:r>
    </w:p>
    <w:p>
      <w:pPr>
        <w:pStyle w:val="BodyText"/>
      </w:pPr>
      <w:r>
        <w:t xml:space="preserve">General comment on the figures : would it be possible to show whats happening under the ice shelves? At the moment they are just whited out. Anyway to show this?</w:t>
      </w:r>
    </w:p>
    <w:p>
      <w:pPr>
        <w:pStyle w:val="BodyText"/>
      </w:pPr>
      <w:r>
        <w:rPr>
          <w:color w:val="0000CC"/>
          <w:bCs/>
          <w:b/>
        </w:rPr>
        <w:t xml:space="preserve">Unfortunately not. The 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 MIS3 on top of all panels.</w:t>
      </w:r>
    </w:p>
    <w:p>
      <w:pPr>
        <w:pStyle w:val="BodyText"/>
      </w:pPr>
      <w:r>
        <w:rPr>
          <w:color w:val="0000CC"/>
          <w:bCs/>
          <w:b/>
        </w:rPr>
        <w:t xml:space="preserve">Done throughout. Reviewer 1 made the same request.</w:t>
      </w:r>
    </w:p>
    <w:bookmarkEnd w:id="68"/>
    <w:bookmarkEnd w:id="69"/>
    <w:bookmarkStart w:id="70" w:name="reviewer-4"/>
    <w:p>
      <w:pPr>
        <w:pStyle w:val="Heading1"/>
      </w:pPr>
      <w:r>
        <w:t xml:space="preserve">Reviewer #4</w:t>
      </w:r>
    </w:p>
    <w:p>
      <w:pPr>
        <w:pStyle w:val="FirstParagraph"/>
      </w:pPr>
      <w:r>
        <w:t xml:space="preserve">I co-reviewed this manuscript with one of the reviewers who provided the listed reports. This is part of the Nature Communications initiative to facilitate training in peer review and to provide appropriate recognition for Early Career Researchers who co-review manuscripts.</w:t>
      </w:r>
    </w:p>
    <w:p>
      <w:pPr>
        <w:pStyle w:val="BodyText"/>
      </w:pPr>
      <w:r>
        <w:rPr>
          <w:color w:val="0000CC"/>
          <w:bCs/>
          <w:b/>
        </w:rPr>
        <w:t xml:space="preserve">We thank Reviewer 4 for their contribution to the review, and the journal for supporting early-career researchers in peer review.</w:t>
      </w:r>
    </w:p>
    <w:bookmarkEnd w:id="70"/>
    <w:bookmarkStart w:id="71"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image" Id="rId65" Target="media/rId65.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2026-09-21T13:07:34Z</dcterms:created>
  <dcterms:modified xsi:type="dcterms:W3CDTF">2026-09-21T13:07:34Z</dcterms:modified>
</cp:coreProperties>
</file>

<file path=docProps/custom.xml><?xml version="1.0" encoding="utf-8"?>
<Properties xmlns="http://schemas.openxmlformats.org/officeDocument/2006/custom-properties" xmlns:vt="http://schemas.openxmlformats.org/officeDocument/2006/docPropsVTypes"/>
</file>