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72.png" ContentType="image/png"/>
  <Override PartName="/word/media/rId49.png" ContentType="image/png"/>
  <Override PartName="/word/media/rId21.png" ContentType="image/png"/>
  <Override PartName="/word/media/rId55.png" ContentType="image/png"/>
  <Override PartName="/word/media/rId77.png" ContentType="image/png"/>
  <Override PartName="/word/media/rId66.png" ContentType="image/png"/>
  <Override PartName="/word/media/rId69.png" ContentType="image/png"/>
  <Override PartName="/word/media/rId52.png" ContentType="image/png"/>
  <Override PartName="/word/media/rId24.png" ContentType="image/png"/>
  <Override PartName="/word/media/rId44.png" ContentType="image/png"/>
  <Override PartName="/word/media/rId33.png" ContentType="image/png"/>
  <Override PartName="/word/media/rId3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w:t>
      </w:r>
      <w:r>
        <w:rPr>
          <w:bCs/>
          <w:b/>
        </w:rPr>
        <w:t xml:space="preserve"> </w:t>
      </w:r>
      <w:r>
        <w:rPr>
          <w:vertAlign w:val="subscript"/>
          <w:bCs/>
          <w:b/>
        </w:rPr>
        <w:t xml:space="preserve">2</w:t>
      </w:r>
      <w:r>
        <w:rPr>
          <w:bCs/>
          <w:b/>
        </w:rPr>
        <w:t xml:space="preserve"> </w:t>
      </w:r>
      <w:r>
        <w:rPr>
          <w:bCs/>
          <w:b/>
        </w:rPr>
        <w:t xml:space="preserve">36.75 to 37.00 where heat contributes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3"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Resolving the transformation by density class inside the sea ice zone shows that our pre-industrial state is not uniformly thermally driven, as the submitted version implied. Only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where heat supplies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classes lighter than 36.50 kg m</w:t>
      </w:r>
      <w:r>
        <w:rPr>
          <w:vertAlign w:val="superscript"/>
          <w:bCs/>
          <w:b/>
        </w:rPr>
        <w:t xml:space="preserve">-3</w:t>
      </w:r>
      <w:r>
        <w:rPr>
          <w:bCs/>
          <w:b/>
        </w:rPr>
        <w:t xml:space="preserve"> </w:t>
      </w:r>
      <w:r>
        <w:rPr>
          <w:bCs/>
          <w:b/>
        </w:rPr>
        <w:t xml:space="preserve">are dominated by the remaining freshwater terms at 14% thermal. The thermal signature that prompted this comment is therefore confined to one narrow band at mode and intermediate water densities, and it sits lighter than the bottom water cell that Pellichero et al. describe, which in neutral density terms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w:t>
      </w:r>
      <w:r>
        <w:rPr>
          <w:bCs/>
          <w:b/>
        </w:rPr>
        <w:t xml:space="preserve">against our maximum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w:t>
      </w:r>
    </w:p>
    <w:p>
      <w:pPr>
        <w:pStyle w:val="BodyText"/>
      </w:pPr>
      <w:r>
        <w:rPr>
          <w:color w:val="0000CC"/>
          <w:bCs/>
          <w:b/>
        </w:rPr>
        <w:t xml:space="preserve">The glacial states leave no such ambiguity. Every class in LGM and MIS3 is haline dominated, with thermal shares between 4% and 28%, and the sea ice term carries most of the transformation in the dense classes. The shift from a partly thermal interglacial to an unambiguously haline glacial is therefore visible class by class, not only in the integrated totals. Figure R2.3 in the response to Reviewer 2 shows the full decomposition for all five states.</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rPr>
          <w:color w:val="0000CC"/>
          <w:bCs/>
          <w:b/>
        </w:rPr>
        <w:t xml:space="preserve">Fourth, following this comment we have summarised the published model-data comparisons for these same simulations in the Methods, rather than leaving the reviewer to seek them in the earlier papers. We give both what matches and what does not. For the pre-industrial state, simulated precipitation agrees reasonably with GPCP, with local wet biases at the position of the Intertropical Convergence Zone. For the mid-Holocene the model reproduces the warming over western Europe, the north-south temperature dipole over eastern North America and the wetting over the southern Sahara and South Asia, but it simulates a cooler North Africa where the pollen reconstructions show warming, and it underestimates the wetting over the northern Sahara. For the last interglacial the Northern Hemisphere warming and the tropical and North African cooling both match the records, while the Antarctic warming that the proxies show is absent, which the earlier study attributes to the PMIP4 protocol holding the last interglacial ice sheet orography fixed at its pre-industrial configuration. For the Last Glacial Maximum model and proxies agree on the pronounced drying over most Northern Hemisphere continents, and for Marine Isotope Stage 3 no comprehensive compilation exists, so the comparison rests on individual sites.</w:t>
      </w:r>
    </w:p>
    <w:p>
      <w:pPr>
        <w:pStyle w:val="BodyText"/>
      </w:pPr>
      <w:r>
        <w:rPr>
          <w:color w:val="0000CC"/>
          <w:bCs/>
          <w:b/>
        </w:rPr>
        <w:t xml:space="preserve">One point deserves emphasis because it bears directly on this comment. None of those evaluations examines Southern Ocean hydrography, sea ice or overturning against observations. They therefore constrain the large-scale climate response of the model rather than the specific fields our analysis depends on, and we say so in the text rather than letting the reader assume otherwise.</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find precipitation in reasonable agreement with the GPCP observations, with local wet biases at the position of the Intertropical Convergence Zone in both solstitial seasons, a bias common to other coupled models. For the interglacials, compare both generations of AWI-ESM against the pollen compilation of and the multi-archive compilation of .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attribute to the PMIP4 protocol holding the last interglacial ice sheet orography fixed at its pre-industrial configuration. For the glacial states, document the Last Glacial Maximum configuration against the Bartlein pollen compilation and MARGO sea surface temperatures, and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rPr>
          <w:color w:val="0000CC"/>
          <w:bCs/>
          <w:b/>
        </w:rPr>
        <w:t xml:space="preserve">In the revised manuscript the added passage reads:</w:t>
      </w:r>
    </w:p>
    <w:p>
      <w:pPr>
        <w:pStyle w:val="BodyText"/>
      </w:pPr>
      <w:r>
        <w:rPr>
          <w:color w:val="0000CC"/>
          <w:iCs/>
          <w:i/>
          <w:bCs/>
          <w:b/>
        </w:rPr>
        <w:t xml:space="preserve">“The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2782956"/>
            <wp:effectExtent b="0" l="0" r="0" t="0"/>
            <wp:docPr descr="" title="" id="25" name="Picture"/>
            <a:graphic>
              <a:graphicData uri="http://schemas.openxmlformats.org/drawingml/2006/picture">
                <pic:pic>
                  <pic:nvPicPr>
                    <pic:cNvPr descr="/work/ba1066/a270064/cc_projects/aabw_5exps/nc_paper/SUBMISSION/letter_figs/figR7_mld_glacial_zoom.png" id="26" name="Picture"/>
                    <pic:cNvPicPr>
                      <a:picLocks noChangeArrowheads="1" noChangeAspect="1"/>
                    </pic:cNvPicPr>
                  </pic:nvPicPr>
                  <pic:blipFill>
                    <a:blip r:embed="rId24"/>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R1.2 (new supplementary panel).</w:t>
      </w:r>
      <w:r>
        <w:rPr>
          <w:iCs/>
          <w:i/>
        </w:rPr>
        <w:t xml:space="preserve"> </w:t>
      </w:r>
      <w:r>
        <w:rPr>
          <w:iCs/>
          <w:i/>
        </w:rPr>
        <w:t xml:space="preserve">(a) LGM and (b) MIS3 winter mixed layer depth south of 60°S, on a 0-300 m scale with the 200 m contour in orange. The 99th percentile of the glacial winter mixed layer south of 55°S is only 280 m (LGM) and 296 m (MIS3), so the 0-400 m scale used for the interglacials leaves these panels almost featureless. On the tightened scale the discrete coastal cells where the glacial dense water is produced are resolved,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2"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the explicit statement that the mode works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1" name="Picture"/>
            <a:graphic>
              <a:graphicData uri="http://schemas.openxmlformats.org/drawingml/2006/picture">
                <pic:pic>
                  <pic:nvPicPr>
                    <pic:cNvPr descr="/work/ba1066/a270064/cc_projects/aabw_5exps/nc_paper/SUBMISSION/letter_figs/figR7_mld_glacial_zoom.png" id="32" name="Picture"/>
                    <pic:cNvPicPr>
                      <a:picLocks noChangeArrowheads="1" noChangeAspect="1"/>
                    </pic:cNvPicPr>
                  </pic:nvPicPr>
                  <pic:blipFill>
                    <a:blip r:embed="rId24"/>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4" name="Picture"/>
            <a:graphic>
              <a:graphicData uri="http://schemas.openxmlformats.org/drawingml/2006/picture">
                <pic:pic>
                  <pic:nvPicPr>
                    <pic:cNvPr descr="/work/ba1066/a270064/cc_projects/aabw_5exps/nc_paper/SUBMISSION/letter_figs/figR9_ross_sector.png" id="35" name="Picture"/>
                    <pic:cNvPicPr>
                      <a:picLocks noChangeArrowheads="1" noChangeAspect="1"/>
                    </pic:cNvPicPr>
                  </pic:nvPicPr>
                  <pic:blipFill>
                    <a:blip r:embed="rId33"/>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7" name="Picture"/>
            <a:graphic>
              <a:graphicData uri="http://schemas.openxmlformats.org/drawingml/2006/picture">
                <pic:pic>
                  <pic:nvPicPr>
                    <pic:cNvPr descr="/work/ba1066/a270064/cc_projects/aabw_5exps/nc_paper/SUBMISSION/letter_figs/figS_common_axis-1.png" id="38" name="Picture"/>
                    <pic:cNvPicPr>
                      <a:picLocks noChangeArrowheads="1" noChangeAspect="1"/>
                    </pic:cNvPicPr>
                  </pic:nvPicPr>
                  <pic:blipFill>
                    <a:blip r:embed="rId36"/>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0" name="Picture"/>
            <a:graphic>
              <a:graphicData uri="http://schemas.openxmlformats.org/drawingml/2006/picture">
                <pic:pic>
                  <pic:nvPicPr>
                    <pic:cNvPr descr="/work/ba1066/a270064/cc_projects/aabw_5exps/nc_paper/SUBMISSION/letter_figs/fig03_labels-1.png" id="41" name="Picture"/>
                    <pic:cNvPicPr>
                      <a:picLocks noChangeArrowheads="1" noChangeAspect="1"/>
                    </pic:cNvPicPr>
                  </pic:nvPicPr>
                  <pic:blipFill>
                    <a:blip r:embed="rId39"/>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w:t>
      </w:r>
      <w:r>
        <w:rPr>
          <w:bCs/>
          <w:b/>
        </w:rPr>
        <w:t xml:space="preserve"> </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2"/>
    <w:bookmarkEnd w:id="43"/>
    <w:bookmarkStart w:id="61"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8"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5" name="Picture"/>
            <a:graphic>
              <a:graphicData uri="http://schemas.openxmlformats.org/drawingml/2006/picture">
                <pic:pic>
                  <pic:nvPicPr>
                    <pic:cNvPr descr="/work/ba1066/a270064/cc_projects/aabw_5exps/nc_paper/SUBMISSION/letter_figs/figR8_domain_map.png" id="46" name="Picture"/>
                    <pic:cNvPicPr>
                      <a:picLocks noChangeArrowheads="1" noChangeAspect="1"/>
                    </pic:cNvPicPr>
                  </pic:nvPicPr>
                  <pic:blipFill>
                    <a:blip r:embed="rId44"/>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47" name="Picture"/>
            <a:graphic>
              <a:graphicData uri="http://schemas.openxmlformats.org/drawingml/2006/picture">
                <pic:pic>
                  <pic:nvPicPr>
                    <pic:cNvPr descr="/work/ba1066/a270064/cc_projects/aabw_5exps/nc_paper/SUBMISSION/letter_figs/figR1_wmt_domain_sensitivity.png" id="48"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0" name="Picture"/>
            <a:graphic>
              <a:graphicData uri="http://schemas.openxmlformats.org/drawingml/2006/picture">
                <pic:pic>
                  <pic:nvPicPr>
                    <pic:cNvPr descr="/work/ba1066/a270064/cc_projects/aabw_5exps/nc_paper/SUBMISSION/letter_figs/figR14_siz_gamma_5exps.png" id="51" name="Picture"/>
                    <pic:cNvPicPr>
                      <a:picLocks noChangeArrowheads="1" noChangeAspect="1"/>
                    </pic:cNvPicPr>
                  </pic:nvPicPr>
                  <pic:blipFill>
                    <a:blip r:embed="rId49"/>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3" name="Picture"/>
            <a:graphic>
              <a:graphicData uri="http://schemas.openxmlformats.org/drawingml/2006/picture">
                <pic:pic>
                  <pic:nvPicPr>
                    <pic:cNvPr descr="/work/ba1066/a270064/cc_projects/aabw_5exps/nc_paper/SUBMISSION/letter_figs/figR6_convection_sites.png" id="54" name="Picture"/>
                    <pic:cNvPicPr>
                      <a:picLocks noChangeArrowheads="1" noChangeAspect="1"/>
                    </pic:cNvPicPr>
                  </pic:nvPicPr>
                  <pic:blipFill>
                    <a:blip r:embed="rId52"/>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6" name="Picture"/>
            <a:graphic>
              <a:graphicData uri="http://schemas.openxmlformats.org/drawingml/2006/picture">
                <pic:pic>
                  <pic:nvPicPr>
                    <pic:cNvPr descr="/work/ba1066/a270064/cc_projects/aabw_5exps/nc_paper/SUBMISSION/letter_figs/figR2_moc_5exps.png" id="57" name="Picture"/>
                    <pic:cNvPicPr>
                      <a:picLocks noChangeArrowheads="1" noChangeAspect="1"/>
                    </pic:cNvPicPr>
                  </pic:nvPicPr>
                  <pic:blipFill>
                    <a:blip r:embed="rId55"/>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8"/>
    <w:bookmarkStart w:id="59"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9"/>
    <w:bookmarkStart w:id="60"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0"/>
    <w:bookmarkEnd w:id="61"/>
    <w:bookmarkStart w:id="82"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0"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2" name="Picture"/>
            <a:graphic>
              <a:graphicData uri="http://schemas.openxmlformats.org/drawingml/2006/picture">
                <pic:pic>
                  <pic:nvPicPr>
                    <pic:cNvPr descr="/work/ba1066/a270064/cc_projects/aabw_5exps/nc_paper/SUBMISSION/letter_figs/figR6_convection_sites.png" id="63" name="Picture"/>
                    <pic:cNvPicPr>
                      <a:picLocks noChangeArrowheads="1" noChangeAspect="1"/>
                    </pic:cNvPicPr>
                  </pic:nvPicPr>
                  <pic:blipFill>
                    <a:blip r:embed="rId52"/>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4" name="Picture"/>
            <a:graphic>
              <a:graphicData uri="http://schemas.openxmlformats.org/drawingml/2006/picture">
                <pic:pic>
                  <pic:nvPicPr>
                    <pic:cNvPr descr="/work/ba1066/a270064/cc_projects/aabw_5exps/nc_paper/SUBMISSION/letter_figs/figR1_wmt_domain_sensitivity.png" id="65"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vertAlign w:val="subscript"/>
          <w:iCs/>
          <w:i/>
          <w:bCs/>
          <w:b/>
        </w:rPr>
        <w:t xml:space="preserve">n</w:t>
      </w:r>
      <w:r>
        <w:rPr>
          <w:iCs/>
          <w:i/>
          <w:bCs/>
          <w:b/>
        </w:rPr>
        <w:t xml:space="preserve"> </w:t>
      </w:r>
      <w:r>
        <w:rPr>
          <w:iCs/>
          <w:i/>
          <w:bCs/>
          <w:b/>
        </w:rPr>
        <w:t xml:space="preserve">≈ 27.3 kg m</w:t>
      </w:r>
      <w:r>
        <w:rPr>
          <w:vertAlign w:val="superscript"/>
          <w:iCs/>
          <w:i/>
          <w:bCs/>
          <w:b/>
        </w:rPr>
        <w:t xml:space="preserve">-3</w:t>
      </w:r>
      <w:r>
        <w:rPr>
          <w:iCs/>
          <w:i/>
          <w:bCs/>
          <w:b/>
        </w:rPr>
        <w:t xml:space="preserve">, whereas the haline-dominated lower cell they describe occupies γ</w:t>
      </w:r>
      <w:r>
        <w:rPr>
          <w:vertAlign w:val="subscript"/>
          <w:iCs/>
          <w:i/>
          <w:bCs/>
          <w:b/>
        </w:rPr>
        <w:t xml:space="preserve">n</w:t>
      </w:r>
      <w:r>
        <w:rPr>
          <w:iCs/>
          <w:i/>
          <w:bCs/>
          <w:b/>
        </w:rPr>
        <w:t xml:space="preserve"> </w:t>
      </w:r>
      <w:r>
        <w:rPr>
          <w:iCs/>
          <w:i/>
          <w:bCs/>
          <w:b/>
        </w:rPr>
        <w:t xml:space="preserve">= 27.9-28.8 kg m</w:t>
      </w:r>
      <w:r>
        <w:rPr>
          <w:vertAlign w:val="superscript"/>
          <w:iCs/>
          <w:i/>
          <w:bCs/>
          <w:b/>
        </w:rPr>
        <w:t xml:space="preserve">-3</w:t>
      </w:r>
      <w:r>
        <w:rPr>
          <w:iCs/>
          <w:i/>
          <w:bCs/>
          <w:b/>
        </w:rPr>
        <w:t xml:space="preserve">. Our surface transformation barely reaches the lighter edge of that range. In the densest classes our fluxes do populate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7" name="Picture"/>
            <a:graphic>
              <a:graphicData uri="http://schemas.openxmlformats.org/drawingml/2006/picture">
                <pic:pic>
                  <pic:nvPicPr>
                    <pic:cNvPr descr="/work/ba1066/a270064/cc_projects/aabw_5exps/nc_paper/SUBMISSION/letter_figs/figR4_sam_push_pull.png" id="68" name="Picture"/>
                    <pic:cNvPicPr>
                      <a:picLocks noChangeArrowheads="1" noChangeAspect="1"/>
                    </pic:cNvPicPr>
                  </pic:nvPicPr>
                  <pic:blipFill>
                    <a:blip r:embed="rId66"/>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0" name="Picture"/>
            <a:graphic>
              <a:graphicData uri="http://schemas.openxmlformats.org/drawingml/2006/picture">
                <pic:pic>
                  <pic:nvPicPr>
                    <pic:cNvPr descr="/work/ba1066/a270064/cc_projects/aabw_5exps/nc_paper/SUBMISSION/letter_figs/figR5_sam_wind_ice.png" id="71" name="Picture"/>
                    <pic:cNvPicPr>
                      <a:picLocks noChangeArrowheads="1" noChangeAspect="1"/>
                    </pic:cNvPicPr>
                  </pic:nvPicPr>
                  <pic:blipFill>
                    <a:blip r:embed="rId69"/>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3" name="Picture"/>
            <a:graphic>
              <a:graphicData uri="http://schemas.openxmlformats.org/drawingml/2006/picture">
                <pic:pic>
                  <pic:nvPicPr>
                    <pic:cNvPr descr="/work/ba1066/a270064/cc_projects/aabw_5exps/nc_paper/SUBMISSION/letter_figs/figR10_deep_trend.png" id="74" name="Picture"/>
                    <pic:cNvPicPr>
                      <a:picLocks noChangeArrowheads="1" noChangeAspect="1"/>
                    </pic:cNvPicPr>
                  </pic:nvPicPr>
                  <pic:blipFill>
                    <a:blip r:embed="rId72"/>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w:t>
      </w:r>
      <w:r>
        <w:rPr>
          <w:vertAlign w:val="superscript"/>
          <w:iCs/>
          <w:i/>
          <w:bCs/>
          <w:b/>
        </w:rPr>
        <w:t xml:space="preserve">-1</w:t>
      </w:r>
      <w:r>
        <w:rPr>
          <w:iCs/>
          <w:i/>
          <w:bCs/>
          <w:b/>
        </w:rPr>
        <w:t xml:space="preserve"> </w:t>
      </w:r>
      <w:r>
        <w:rPr>
          <w:iCs/>
          <w:i/>
          <w:bCs/>
          <w:b/>
        </w:rPr>
        <w:t xml:space="preserve">in PI, MH and LIG, and the interglacial drift is decelerating, with the trend over the second half of each record between 0.13 and 0.41 times that over the first half. The two glacial experiments are further from equilibrium. Their deep ocean drifts by 0.113 and 0.160 K century</w:t>
      </w:r>
      <w:r>
        <w:rPr>
          <w:vertAlign w:val="superscript"/>
          <w:iCs/>
          <w:i/>
          <w:bCs/>
          <w:b/>
        </w:rPr>
        <w:t xml:space="preserve">-1</w:t>
      </w:r>
      <w:r>
        <w:rPr>
          <w:iCs/>
          <w:i/>
          <w:bCs/>
          <w:b/>
        </w:rPr>
        <w:t xml:space="preserve">,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vertAlign w:val="superscript"/>
          <w:iCs/>
          <w:i/>
          <w:bCs/>
          <w:b/>
        </w:rPr>
        <w:t xml:space="preserve">-1</w:t>
      </w:r>
      <w:r>
        <w:rPr>
          <w:iCs/>
          <w:i/>
          <w:bCs/>
          <w:b/>
        </w:rPr>
        <w:t xml:space="preserve"> </w:t>
      </w:r>
      <w:r>
        <w:rPr>
          <w:iCs/>
          <w:i/>
          <w:bCs/>
          <w:b/>
        </w:rPr>
        <w:t xml:space="preserve">for PI, -0.03 for MH, -0.06 for LIG, +0.04 for LGM and +0.10 for MIS3. The last two values exceed the 0.05 K century</w:t>
      </w:r>
      <w:r>
        <w:rPr>
          <w:vertAlign w:val="superscript"/>
          <w:iCs/>
          <w:i/>
          <w:bCs/>
          <w:b/>
        </w:rPr>
        <w:t xml:space="preserve">-1</w:t>
      </w:r>
      <w:r>
        <w:rPr>
          <w:iCs/>
          <w:i/>
          <w:bCs/>
          <w:b/>
        </w:rPr>
        <w:t xml:space="preserve"> </w:t>
      </w:r>
      <w:r>
        <w:rPr>
          <w:iCs/>
          <w:i/>
          <w:bCs/>
          <w:b/>
        </w:rPr>
        <w:t xml:space="preserve">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w:t>
      </w:r>
      <w:r>
        <w:rPr>
          <w:vertAlign w:val="superscript"/>
          <w:iCs/>
          <w:i/>
          <w:bCs/>
          <w:b/>
        </w:rPr>
        <w:t xml:space="preserve">-1</w:t>
      </w:r>
      <w:r>
        <w:rPr>
          <w:iCs/>
          <w:i/>
          <w:bCs/>
          <w:b/>
        </w:rPr>
        <w:t xml:space="preserve"> </w:t>
      </w:r>
      <w:r>
        <w:rPr>
          <w:iCs/>
          <w:i/>
          <w:bCs/>
          <w:b/>
        </w:rPr>
        <w:t xml:space="preserve">in PI, MH and LIG, and the interglacial drift is decelerating, with the trend over the second half of each record between 0.13 and 0.41 times that over the first half. The two glacial experiments are further from equilibrium. Their deep ocean drifts by 0.113 and 0.160 K century</w:t>
      </w:r>
      <w:r>
        <w:rPr>
          <w:vertAlign w:val="superscript"/>
          <w:iCs/>
          <w:i/>
          <w:bCs/>
          <w:b/>
        </w:rPr>
        <w:t xml:space="preserve">-1</w:t>
      </w:r>
      <w:r>
        <w:rPr>
          <w:iCs/>
          <w:i/>
          <w:bCs/>
          <w:b/>
        </w:rPr>
        <w:t xml:space="preserve">,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5" name="Picture"/>
            <a:graphic>
              <a:graphicData uri="http://schemas.openxmlformats.org/drawingml/2006/picture">
                <pic:pic>
                  <pic:nvPicPr>
                    <pic:cNvPr descr="/work/ba1066/a270064/cc_projects/aabw_5exps/nc_paper/SUBMISSION/letter_figs/figR2_moc_5exps.png" id="76" name="Picture"/>
                    <pic:cNvPicPr>
                      <a:picLocks noChangeArrowheads="1" noChangeAspect="1"/>
                    </pic:cNvPicPr>
                  </pic:nvPicPr>
                  <pic:blipFill>
                    <a:blip r:embed="rId55"/>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8" name="Picture"/>
            <a:graphic>
              <a:graphicData uri="http://schemas.openxmlformats.org/drawingml/2006/picture">
                <pic:pic>
                  <pic:nvPicPr>
                    <pic:cNvPr descr="/work/ba1066/a270064/cc_projects/aabw_5exps/nc_paper/SUBMISSION/letter_figs/figR3_age_global.png" id="79" name="Picture"/>
                    <pic:cNvPicPr>
                      <a:picLocks noChangeArrowheads="1" noChangeAspect="1"/>
                    </pic:cNvPicPr>
                  </pic:nvPicPr>
                  <pic:blipFill>
                    <a:blip r:embed="rId77"/>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0"/>
    <w:bookmarkStart w:id="81"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w:t>
      </w:r>
    </w:p>
    <w:p>
      <w:pPr>
        <w:pStyle w:val="BodyText"/>
      </w:pPr>
      <w:r>
        <w:t xml:space="preserve">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 –- Moved.</w:t>
      </w:r>
    </w:p>
    <w:p>
      <w:pPr>
        <w:pStyle w:val="BodyText"/>
      </w:pPr>
      <w:r>
        <w:t xml:space="preserve">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w:t>
      </w:r>
    </w:p>
    <w:p>
      <w:pPr>
        <w:pStyle w:val="BodyText"/>
      </w:pPr>
      <w:r>
        <w:t xml:space="preserve">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1"/>
    <w:bookmarkEnd w:id="82"/>
    <w:bookmarkStart w:id="83"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3"/>
    <w:bookmarkStart w:id="84"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72" Target="media/rId72.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2026-09-23T09:19:44Z</dcterms:created>
  <dcterms:modified xsi:type="dcterms:W3CDTF">2026-09-23T09:19:44Z</dcterms:modified>
</cp:coreProperties>
</file>

<file path=docProps/custom.xml><?xml version="1.0" encoding="utf-8"?>
<Properties xmlns="http://schemas.openxmlformats.org/officeDocument/2006/custom-properties" xmlns:vt="http://schemas.openxmlformats.org/officeDocument/2006/docPropsVTypes"/>
</file>