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1.png" ContentType="image/png"/>
  <Override PartName="/word/media/rId21.png" ContentType="image/png"/>
  <Override PartName="/word/media/rId54.png" ContentType="image/png"/>
  <Override PartName="/word/media/rId76.png" ContentType="image/png"/>
  <Override PartName="/word/media/rId65.png" ContentType="image/png"/>
  <Override PartName="/word/media/rId68.png" ContentType="image/png"/>
  <Override PartName="/word/media/rId24.png" ContentType="image/png"/>
  <Override PartName="/word/media/rId27.png" ContentType="image/png"/>
  <Override PartName="/word/media/rId47.png" ContentType="image/png"/>
  <Override PartName="/word/media/rId36.png" ContentType="image/png"/>
  <Override PartName="/word/media/rId3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Hu Yang,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42.7% of the area we integrated over lies outside the winter sea ice edge and is therefore water that Pellichero et al. do not analyse. The second, and larger, is the density range: our simulated transformation peaks at densities corresponding to intermediate and mode water, whereas the haline-dominated cell those authors describe lies at bottom water densities that our simulated surface fluxes barely reach. Where the two analyses do overlap in density, they agree in sign. A residual discrepancy remains after both effects are accounted for, and it reflects a real limitation of the model, namely that it forms its pre-industrial dense water by open-ocean convection in the Weddell gyre rather than by dense shelf water overflow. We now state this plainly, quantify it, and bound what we claim on the basis of it.</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correctly noted was missing;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without consulting the manuscript.</w:t>
      </w:r>
    </w:p>
    <w:p>
      <w:pPr>
        <w:pStyle w:val="BodyText"/>
      </w:pPr>
      <w:r>
        <w:rPr>
          <w:color w:val="0000CC"/>
          <w:bCs/>
          <w:b/>
        </w:rPr>
        <w:t xml:space="preserve">Reviewer comments are reproduced in full below in italics, each followed by our response. Line numbers in our responses refer to the revised manuscript unless stated otherwise. All changes are marked in the accompanying tracked-changes file.</w:t>
      </w:r>
    </w:p>
    <w:bookmarkEnd w:id="20"/>
    <w:bookmarkStart w:id="46"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3"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(a-e) Winter mixed layer depth for the five states, with the 400 m contour in orange. (f) In the pre-industrial state the Weddell sector accounts for 70% of the area with a mixed layer deeper than 400 m and 97% of the area deeper than 600 m, and the convection sits in the interior of the gyre near 68°S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R1.3 (new supplementary panel).</w:t>
      </w:r>
      <w:r>
        <w:rPr>
          <w:iCs/>
          <w:i/>
        </w:rPr>
        <w:t xml:space="preserve"> </w:t>
      </w:r>
      <w:r>
        <w:rPr>
          <w:iCs/>
          <w:i/>
        </w:rPr>
        <w:t xml:space="preserve">LGM and MIS3 winter mixed layer depth on the original 0-400 m scale (top) and on a tightened 0-300 m scale with the 200 m contour marked (bottom). The 99th percentile of the glacial winter mixed layer south of 55 deg S is only 280 m (LGM) and 296 m (MIS3), which is why the shared interglacial scale leaves the glacial panels almost featureless. The tightened scale resolves the discrete coastal cells where the glacial dense water is produced.</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R1.4 in this letter shows the result. The same treatment has been applied to every map figure in the revised manuscript and supplement.</w:t>
      </w:r>
    </w:p>
    <w:p>
      <w:pPr>
        <w:pStyle w:val="BodyText"/>
      </w:pPr>
      <w:r>
        <w:drawing>
          <wp:inline>
            <wp:extent cx="5334000" cy="3735041"/>
            <wp:effectExtent b="0" l="0" r="0" t="0"/>
            <wp:docPr descr="" title="" id="31" name="Picture"/>
            <a:graphic>
              <a:graphicData uri="http://schemas.openxmlformats.org/drawingml/2006/picture">
                <pic:pic>
                  <pic:nvPicPr>
                    <pic:cNvPr descr="/work/ba1066/a270064/cc_projects/aabw_5exps/nc_paper/SUBMISSION/letter_figs/fig_age_labels-1.png" id="32" name="Picture"/>
                    <pic:cNvPicPr>
                      <a:picLocks noChangeArrowheads="1" noChangeAspect="1"/>
                    </pic:cNvPicPr>
                  </pic:nvPicPr>
                  <pic:blipFill>
                    <a:blip r:embed="rId30"/>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R1.4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3"/>
    <w:bookmarkStart w:id="45"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4" name="Picture"/>
            <a:graphic>
              <a:graphicData uri="http://schemas.openxmlformats.org/drawingml/2006/picture">
                <pic:pic>
                  <pic:nvPicPr>
                    <pic:cNvPr descr="/work/ba1066/a270064/cc_projects/aabw_5exps/nc_paper/SUBMISSION/letter_figs/figR7_mld_glacial_zoom.png" id="35"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R1.5 (new supplementary panel).</w:t>
      </w:r>
      <w:r>
        <w:rPr>
          <w:iCs/>
          <w:i/>
        </w:rPr>
        <w:t xml:space="preserve"> </w:t>
      </w:r>
      <w:r>
        <w:rPr>
          <w:iCs/>
          <w:i/>
        </w:rPr>
        <w:t xml:space="preserve">LGM and MIS3 winter mixed layer depth on the original 0–400 m scale (top) and on a tightened 0–300 m scale with the 200 m contour marked (bottom). The tightened scale resolves discrete deep cells along the coast, in the Weddell, Prydz Bay and Ross sectors, which is where the glacial dense water is produced. This is the figure we now use in the supplement.</w:t>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7" name="Picture"/>
            <a:graphic>
              <a:graphicData uri="http://schemas.openxmlformats.org/drawingml/2006/picture">
                <pic:pic>
                  <pic:nvPicPr>
                    <pic:cNvPr descr="/work/ba1066/a270064/cc_projects/aabw_5exps/nc_paper/SUBMISSION/letter_figs/figR9_ross_sector.png" id="38" name="Picture"/>
                    <pic:cNvPicPr>
                      <a:picLocks noChangeArrowheads="1" noChangeAspect="1"/>
                    </pic:cNvPicPr>
                  </pic:nvPicPr>
                  <pic:blipFill>
                    <a:blip r:embed="rId3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R1.6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0" name="Picture"/>
            <a:graphic>
              <a:graphicData uri="http://schemas.openxmlformats.org/drawingml/2006/picture">
                <pic:pic>
                  <pic:nvPicPr>
                    <pic:cNvPr descr="/work/ba1066/a270064/cc_projects/aabw_5exps/nc_paper/SUBMISSION/letter_figs/figS_common_axis-1.png" id="41" name="Picture"/>
                    <pic:cNvPicPr>
                      <a:picLocks noChangeArrowheads="1" noChangeAspect="1"/>
                    </pic:cNvPicPr>
                  </pic:nvPicPr>
                  <pic:blipFill>
                    <a:blip r:embed="rId39"/>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R1.7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drawing>
          <wp:inline>
            <wp:extent cx="5334000" cy="4964723"/>
            <wp:effectExtent b="0" l="0" r="0" t="0"/>
            <wp:docPr descr="" title="" id="43" name="Picture"/>
            <a:graphic>
              <a:graphicData uri="http://schemas.openxmlformats.org/drawingml/2006/picture">
                <pic:pic>
                  <pic:nvPicPr>
                    <pic:cNvPr descr="/work/ba1066/a270064/cc_projects/aabw_5exps/nc_paper/SUBMISSION/letter_figs/fig03_labels-1.png" id="44" name="Picture"/>
                    <pic:cNvPicPr>
                      <a:picLocks noChangeArrowheads="1" noChangeAspect="1"/>
                    </pic:cNvPicPr>
                  </pic:nvPicPr>
                  <pic:blipFill>
                    <a:blip r:embed="rId42"/>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R1.8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45"/>
    <w:bookmarkEnd w:id="46"/>
    <w:bookmarkStart w:id="60"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7"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8" name="Picture"/>
            <a:graphic>
              <a:graphicData uri="http://schemas.openxmlformats.org/drawingml/2006/picture">
                <pic:pic>
                  <pic:nvPicPr>
                    <pic:cNvPr descr="/work/ba1066/a270064/cc_projects/aabw_5exps/nc_paper/SUBMISSION/letter_figs/figR8_domain_map.png" id="49" name="Picture"/>
                    <pic:cNvPicPr>
                      <a:picLocks noChangeArrowheads="1" noChangeAspect="1"/>
                    </pic:cNvPicPr>
                  </pic:nvPicPr>
                  <pic:blipFill>
                    <a:blip r:embed="rId47"/>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is inside our domain but outside the ice zone: it is 42.7% of the area we integrated over, it is open water all year, and it is water their analysis does not include.</w:t>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moves the partition in the direction they report: the thermal share of the dense-class transformation falls from 69% to 61%, and the sea ice contribution at the transformation maximum roughly doubles from 0.86 to 1.84 Sv.</w:t>
      </w:r>
    </w:p>
    <w:p>
      <w:pPr>
        <w:pStyle w:val="BodyText"/>
      </w:pPr>
      <w:r>
        <w:drawing>
          <wp:inline>
            <wp:extent cx="5334000" cy="2185606"/>
            <wp:effectExtent b="0" l="0" r="0" t="0"/>
            <wp:docPr descr="" title="" id="50" name="Picture"/>
            <a:graphic>
              <a:graphicData uri="http://schemas.openxmlformats.org/drawingml/2006/picture">
                <pic:pic>
                  <pic:nvPicPr>
                    <pic:cNvPr descr="/work/ba1066/a270064/cc_projects/aabw_5exps/nc_paper/SUBMISSION/letter_figs/figR1_wmt_domain_sensitivity.png" id="51"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2" name="Picture"/>
            <a:graphic>
              <a:graphicData uri="http://schemas.openxmlformats.org/drawingml/2006/picture">
                <pic:pic>
                  <pic:nvPicPr>
                    <pic:cNvPr descr="/work/ba1066/a270064/cc_projects/aabw_5exps/nc_paper/SUBMISSION/letter_figs/figR6_convection_sites.png" id="53"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5" name="Picture"/>
            <a:graphic>
              <a:graphicData uri="http://schemas.openxmlformats.org/drawingml/2006/picture">
                <pic:pic>
                  <pic:nvPicPr>
                    <pic:cNvPr descr="/work/ba1066/a270064/cc_projects/aabw_5exps/nc_paper/SUBMISSION/letter_figs/figR2_moc_5exps.png" id="56" name="Picture"/>
                    <pic:cNvPicPr>
                      <a:picLocks noChangeArrowheads="1" noChangeAspect="1"/>
                    </pic:cNvPicPr>
                  </pic:nvPicPr>
                  <pic:blipFill>
                    <a:blip r:embed="rId54"/>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R2.4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57"/>
    <w:bookmarkStart w:id="58"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8"/>
    <w:bookmarkStart w:id="59"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59"/>
    <w:bookmarkEnd w:id="60"/>
    <w:bookmarkStart w:id="81"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79"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1" name="Picture"/>
            <a:graphic>
              <a:graphicData uri="http://schemas.openxmlformats.org/drawingml/2006/picture">
                <pic:pic>
                  <pic:nvPicPr>
                    <pic:cNvPr descr="/work/ba1066/a270064/cc_projects/aabw_5exps/nc_paper/SUBMISSION/letter_figs/figR6_convection_sites.png" id="62"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(a-e) Winter mixed layer depth with the 400 m contour in orange. (f) The pre-industrial sector breakdown, showing that convection is concentrated in the Weddell gyre interior rather than on the shelf, which is the bias the reviewer identified. (g, h) The glacial contraction of both the deep-convection area and the maximum mixed-layer depth.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3" name="Picture"/>
            <a:graphic>
              <a:graphicData uri="http://schemas.openxmlformats.org/drawingml/2006/picture">
                <pic:pic>
                  <pic:nvPicPr>
                    <pic:cNvPr descr="/work/ba1066/a270064/cc_projects/aabw_5exps/nc_paper/SUBMISSION/letter_figs/figR1_wmt_domain_sensitivity.png" id="64"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R3.2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6" name="Picture"/>
            <a:graphic>
              <a:graphicData uri="http://schemas.openxmlformats.org/drawingml/2006/picture">
                <pic:pic>
                  <pic:nvPicPr>
                    <pic:cNvPr descr="/work/ba1066/a270064/cc_projects/aabw_5exps/nc_paper/SUBMISSION/letter_figs/figR4_sam_push_pull.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R3.3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9" name="Picture"/>
            <a:graphic>
              <a:graphicData uri="http://schemas.openxmlformats.org/drawingml/2006/picture">
                <pic:pic>
                  <pic:nvPicPr>
                    <pic:cNvPr descr="/work/ba1066/a270064/cc_projects/aabw_5exps/nc_paper/SUBMISSION/letter_figs/figR5_sam_wind_ice.png" id="70" name="Picture"/>
                    <pic:cNvPicPr>
                      <a:picLocks noChangeArrowheads="1" noChangeAspect="1"/>
                    </pic:cNvPicPr>
                  </pic:nvPicPr>
                  <pic:blipFill>
                    <a:blip r:embed="rId68"/>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We also checked the deep ocean, which is the slower and more demanding test and the one that matters for a study about abyssal ventilation. Surface temperature equilibrates in decades whereas the abyss takes millennia, so a flat surface temperature is not by itself evidence that the deep ocean has stopped adjusting.</w:t>
      </w:r>
    </w:p>
    <w:p>
      <w:pPr>
        <w:pStyle w:val="BodyText"/>
      </w:pPr>
      <w:r>
        <w:drawing>
          <wp:inline>
            <wp:extent cx="5334000" cy="1540933"/>
            <wp:effectExtent b="0" l="0" r="0" t="0"/>
            <wp:docPr descr="" title="" id="72" name="Picture"/>
            <a:graphic>
              <a:graphicData uri="http://schemas.openxmlformats.org/drawingml/2006/picture">
                <pic:pic>
                  <pic:nvPicPr>
                    <pic:cNvPr descr="/work/ba1066/a270064/cc_projects/aabw_5exps/nc_paper/SUBMISSION/letter_figs/figR10_deep_trend.png" id="73" name="Picture"/>
                    <pic:cNvPicPr>
                      <a:picLocks noChangeArrowheads="1" noChangeAspect="1"/>
                    </pic:cNvPicPr>
                  </pic:nvPicPr>
                  <pic:blipFill>
                    <a:blip r:embed="rId71"/>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rPr>
          <w:bCs/>
          <w:b/>
          <w:iCs/>
          <w:i/>
        </w:rPr>
        <w:t xml:space="preserve">Figure R3.5 (new analysis).</w:t>
      </w:r>
      <w:r>
        <w:rPr>
          <w:iCs/>
          <w:i/>
        </w:rPr>
        <w:t xml:space="preserve"> </w:t>
      </w:r>
      <w:r>
        <w:rPr>
          <w:iCs/>
          <w:i/>
        </w:rPr>
        <w:t xml:space="preserve">Volume-weighted mean (a) potential temperature and (b) salinity below 2000 m over all available output years, with the analysed final century shaded. (c) The residual trend over that century. The interglacial deep ocean is flat and still decelerating, with the trend over the second half of each record 0.13 to 0.41 times that over the first half. The two glacial experiments are further from equilibrium: they drift at 0.113 and 0.160 K per century, warm by 0.58 and 0.89 K over the record, and are not decelerating.</w:t>
      </w:r>
    </w:p>
    <w:p>
      <w:pPr>
        <w:pStyle w:val="BodyText"/>
      </w:pPr>
      <w:r>
        <w:rPr>
          <w:color w:val="0000CC"/>
          <w:bCs/>
          <w:b/>
        </w:rPr>
        <w:t xml:space="preserve">We report this openly rather than presenting the runs as fully equilibrated. The glacial deep ocean is still adjusting, which follows from those experiments being initialised from an earlier glacial state rather than branched from the pre-industrial control. It bears on the ideal ages, which we already describe as lower bounds, and it is a further reason to treat the surface transformation diagnostics, which respond to the surface forcing within years, as the more reliable part of this analysis than the absolute abyssal properties. The surface buoyancy fluxes and the transformation rates derived from them are not affected by a slow deep-ocean adjustment of this size.</w:t>
      </w:r>
    </w:p>
    <w:p>
      <w:pPr>
        <w:pStyle w:val="BodyText"/>
      </w:pPr>
      <w:r>
        <w:rPr>
          <w:color w:val="0000CC"/>
          <w:bCs/>
          <w:b/>
        </w:rPr>
        <w:t xml:space="preserve">The corresponding passage added to the Methods reads:</w:t>
      </w:r>
    </w:p>
    <w:p>
      <w:pPr>
        <w:pStyle w:val="BodyText"/>
      </w:pPr>
      <w:r>
        <w:rPr>
          <w:color w:val="0000CC"/>
          <w:iCs/>
          <w:i/>
          <w:bCs/>
          <w:b/>
        </w:rPr>
        <w:t xml:space="preserve">“The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4" name="Picture"/>
            <a:graphic>
              <a:graphicData uri="http://schemas.openxmlformats.org/drawingml/2006/picture">
                <pic:pic>
                  <pic:nvPicPr>
                    <pic:cNvPr descr="/work/ba1066/a270064/cc_projects/aabw_5exps/nc_paper/SUBMISSION/letter_figs/figR2_moc_5exps.png" id="75" name="Picture"/>
                    <pic:cNvPicPr>
                      <a:picLocks noChangeArrowheads="1" noChangeAspect="1"/>
                    </pic:cNvPicPr>
                  </pic:nvPicPr>
                  <pic:blipFill>
                    <a:blip r:embed="rId54"/>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7" name="Picture"/>
            <a:graphic>
              <a:graphicData uri="http://schemas.openxmlformats.org/drawingml/2006/picture">
                <pic:pic>
                  <pic:nvPicPr>
                    <pic:cNvPr descr="/work/ba1066/a270064/cc_projects/aabw_5exps/nc_paper/SUBMISSION/letter_figs/figR3_age_global.png" id="78" name="Picture"/>
                    <pic:cNvPicPr>
                      <a:picLocks noChangeArrowheads="1" noChangeAspect="1"/>
                    </pic:cNvPicPr>
                  </pic:nvPicPr>
                  <pic:blipFill>
                    <a:blip r:embed="rId76"/>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79"/>
    <w:bookmarkStart w:id="80"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80"/>
    <w:bookmarkEnd w:id="81"/>
    <w:bookmarkStart w:id="82"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2"/>
    <w:bookmarkStart w:id="83"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76" Target="media/rId76.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2026-09-21T14:20:55Z</dcterms:created>
  <dcterms:modified xsi:type="dcterms:W3CDTF">2026-09-21T14:20:55Z</dcterms:modified>
</cp:coreProperties>
</file>

<file path=docProps/custom.xml><?xml version="1.0" encoding="utf-8"?>
<Properties xmlns="http://schemas.openxmlformats.org/officeDocument/2006/custom-properties" xmlns:vt="http://schemas.openxmlformats.org/officeDocument/2006/docPropsVTypes"/>
</file>