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Override PartName="/word/media/rId21.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namely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w:t>
      </w:r>
      <w:r>
        <w:rPr>
          <w:color w:val="0000CC"/>
          <w:vertAlign w:val="subscript"/>
          <w:bCs/>
          <w:b/>
        </w:rPr>
        <w:t xml:space="preserve">2</w:t>
      </w:r>
      <w:r>
        <w:rPr>
          <w:color w:val="0000CC"/>
          <w:bCs/>
          <w:b/>
        </w:rPr>
        <w:t xml:space="preserve"> </w:t>
      </w:r>
      <w:r>
        <w:rPr>
          <w:color w:val="0000CC"/>
          <w:bCs/>
          <w:b/>
        </w:rPr>
        <w:t xml:space="preserve">36.75 to 37.00 where heat contributes 70% of the transformation. Every denser class is haline dominated, with the sea ice term supplying 93% of the transformation above σ</w:t>
      </w:r>
      <w:r>
        <w:rPr>
          <w:color w:val="0000CC"/>
          <w:vertAlign w:val="subscript"/>
          <w:bCs/>
          <w:b/>
        </w:rPr>
        <w:t xml:space="preserve">2</w:t>
      </w:r>
      <w:r>
        <w:rPr>
          <w:color w:val="0000CC"/>
          <w:bCs/>
          <w:b/>
        </w:rPr>
        <w:t xml:space="preserve"> </w:t>
      </w:r>
      <w:r>
        <w:rPr>
          <w:color w:val="0000CC"/>
          <w:bCs/>
          <w:b/>
        </w:rPr>
        <w:t xml:space="preserve">37.00, and the lightest classes are dominated by the remaining freshwater terms. The thermal signature that drew the reviewers' attention is therefore confined to a narrow band at intermediate and mode water densities, and it sits lighter than the bottom water cell that Pellichero et al. describe.</w:t>
      </w:r>
    </w:p>
    <w:p>
      <w:pPr>
        <w:pStyle w:val="BodyText"/>
      </w:pPr>
      <w:r>
        <w:rPr>
          <w:color w:val="0000CC"/>
          <w:bCs/>
          <w:b/>
        </w:rPr>
        <w:t xml:space="preserve">The glacial states leave no such ambiguity.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class by class rather than only in the integrated totals,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and quantify it. What the paper claims, however, is the relative change between climate states rather than the absolute densities, and a bias that is present in every simulation cannot generate the glacial to interglacial contrast between them.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and we have restricted this reply to the pre-industrial simulation, which is what the reviewer asks about. The observational comparison comes first, then the model biases.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per cent sea ice contour, is the part of our domain where the comparison is meaningful, and because theirs is the estimate most often set against model results of this kind. To match them we recomputed our transformation over that sector, reproducing their domain to within 2.5 per cent in area,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 plus or minus 5 Sv. The sign structure and the order of magnitude of the densification branch therefore agree, which is the comparison the reviewer asks for.</w:t>
      </w:r>
    </w:p>
    <w:p>
      <w:pPr>
        <w:pStyle w:val="BodyText"/>
      </w:pPr>
      <w:r>
        <w:rPr>
          <w:color w:val="0000CC"/>
          <w:bCs/>
          <w:b/>
        </w:rPr>
        <w:t xml:space="preserve">Two differences are real and we state them rather than smoothing them over.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the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 and we say so in the Discussion.</w:t>
      </w:r>
    </w:p>
    <w:p>
      <w:pPr>
        <w:pStyle w:val="BodyText"/>
      </w:pPr>
      <w:r>
        <w:rPr>
          <w:color w:val="0000CC"/>
          <w:bCs/>
          <w:b/>
        </w:rPr>
        <w:t xml:space="preserve">A separate point is that the published evaluations of this model configuration do not examine the Southern Ocean at all. We checked, and none of them assesses Southern Ocean stratification, mixed layer depth, sea ice or overturning against observations. What they do cover we now summarise in the Methods, with the agreements and the disagreements given equally.</w:t>
      </w:r>
    </w:p>
    <w:p>
      <w:pPr>
        <w:pStyle w:val="BodyText"/>
      </w:pPr>
      <w:r>
        <w:rPr>
          <w:color w:val="0000CC"/>
          <w:bCs/>
          <w:b/>
        </w:rPr>
        <w:t xml:space="preserve">In the revised manuscript the added passage reads:</w:t>
      </w:r>
    </w:p>
    <w:p>
      <w:pPr>
        <w:pStyle w:val="BodyText"/>
      </w:pPr>
      <w:r>
        <w:rPr>
          <w:color w:val="0000CC"/>
          <w:iCs/>
          <w:i/>
          <w:bCs/>
          <w:b/>
        </w:rPr>
        <w:t xml:space="preserve">“Because the balance of agreement and disagreement in those evaluations bears on how far the present results can be trusted, we summarise it here rather than leaving it to be sought in the earlier papers. For the pre-industrial state, Shi et al. (2025) find precipitation in reasonable agreement with the GPCP observations, with local wet biases at the position of the Intertropical Convergence Zone in both solstitial seasons, a bias common to other coupled models. For the interglacials, Shi et al. (2022) compare both generations of AWI-ESM against the pollen compilation of Bartlein et al. and the multi-archive compilation of Turney and Jones. The model reproduces the mid-Holocene warming over western Europe and the north-south dipole of the temperature anomaly over eastern North America, and it captures the sign and magnitude of the wetting over the southern Sahara and South Asia. It disagrees with the proxies over North Africa, where the simulated mid-Holocene is cooler than the pre-industrial while the reconstructions show warming, and it underestimates the mid-Holocene wetting over the northern Sahara. For the last interglacial the simulated Northern Hemisphere warming and the tropical and North African cooling both match the records, but the Antarctic warming that the proxies show is absent, which Shi et al. (2022) attribute to the PMIP4 protocol holding the last interglacial ice sheet orography fixed at its pre-industrial configuration. For the glacial states, Shi et al. (2023) document the Last Glacial Maximum configuration against the Bartlein pollen compilation and MARGO sea surface temperatures, and Shi et al. (2025) find that model and proxies agree on the pronounced drying over most Northern Hemisphere continents at the Last Glacial Maximum, while for Marine Isotope Stage 3 no comprehensive precipitation compilation exists and the comparison rests on individual sites. Across all four paleoclimate states the simulated anomalies are consistent with the PMIP4 ensemble. We note that none of these evaluations examines Southern Ocean hydrography, sea ice or overturning against observations, so they constrain the large-scale climate response of the model rather than the specific fields on which the present analysis depends.”</w:t>
      </w:r>
    </w:p>
    <w:p>
      <w:pPr>
        <w:pStyle w:val="BodyText"/>
      </w:pPr>
      <w:r>
        <w:rPr>
          <w:color w:val="0000CC"/>
          <w:bCs/>
          <w:b/>
        </w:rPr>
        <w:t xml:space="preserve">Because the Southern Ocean is left unevaluated in that literature, the diagnosis of open-ocean convection reported here is our own, from our own output, and we label it as such rather than attributing it to a published evaluation.</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 and we reproduce the table here so the reviewer does not have to open the manuscript to check them.</w:t>
      </w:r>
    </w:p>
    <w:p>
      <w:pPr>
        <w:pStyle w:val="BodyText"/>
      </w:pPr>
      <w:r>
        <w:t xml:space="preserve">center</w:t>
      </w:r>
    </w:p>
    <w:tbl>
      <w:tblPr>
        <w:tblStyle w:val="Table"/>
        <w:tblW w:type="auto" w:w="0"/>
        <w:tblLook w:firstRow="0" w:lastRow="0" w:firstColumn="0" w:lastColumn="0" w:noHBand="0" w:noVBand="0" w:val="0000"/>
        <w:jc w:val="start"/>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have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receives the ice sheet extent and surface elevation as orography, together with the land-sea mask implied by the lowered sea level, so that the glacial topography and coastline are felt by the circulation. The land surface receives the same mask and elevation, and from them the river routing and the vegetation distribution, both of which are recomputed for the glacial geometry rather than held at their modern values. The ocean receives the bathymetry and the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configuration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w:t>
      </w:r>
    </w:p>
    <w:p>
      <w:pPr>
        <w:pStyle w:val="BodyText"/>
      </w:pPr>
      <w:r>
        <w:drawing>
          <wp:inline>
            <wp:extent cx="5334000" cy="1676399"/>
            <wp:effectExtent b="0" l="0" r="0" t="0"/>
            <wp:docPr descr="" title="" id="25" name="Picture"/>
            <a:graphic>
              <a:graphicData uri="http://schemas.openxmlformats.org/drawingml/2006/picture">
                <pic:pic>
                  <pic:nvPicPr>
                    <pic:cNvPr descr="/work/ba1066/a270064/cc_projects/aabw_5exps/nc_paper/SUBMISSION/letter_figs/figR15_mld_maps_5exps.png" id="26" name="Picture"/>
                    <pic:cNvPicPr>
                      <a:picLocks noChangeArrowheads="1" noChangeAspect="1"/>
                    </pic:cNvPicPr>
                  </pic:nvPicPr>
                  <pic:blipFill>
                    <a:blip r:embed="rId24"/>
                    <a:stretch>
                      <a:fillRect/>
                    </a:stretch>
                  </pic:blipFill>
                  <pic:spPr bwMode="auto">
                    <a:xfrm>
                      <a:off x="0" y="0"/>
                      <a:ext cx="5334000" cy="16763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for the five states. The interglacial panels (a-c) use a 0-800 m scale with the 400 m contour in orange; the glacial panels (d-e) use a 0-300 m scale with the 200 m contour, because the glacial mixed layer never approaches 400 m and the shared scale would leave those panels featureless. The pre-industrial deep mixed layers sit in the interior of the Weddell gyre rather than over the shelf, which is the bias this comment asks about, and the same pattern holds in MH and LIG. In the glacial states only narrow coastal cells remain, in the Weddell, Prydz Bay and Ross sectors.</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the mixed layers are too deep in the open ocean and too shallow on the shelf, the sea ice is too thin, and the surface is too warm and too fresh, in every one of our simulations alike.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735041"/>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2026-10-13T08:54:52Z</dcterms:created>
  <dcterms:modified xsi:type="dcterms:W3CDTF">2026-10-13T08:54:52Z</dcterms:modified>
</cp:coreProperties>
</file>

<file path=docProps/custom.xml><?xml version="1.0" encoding="utf-8"?>
<Properties xmlns="http://schemas.openxmlformats.org/officeDocument/2006/custom-properties" xmlns:vt="http://schemas.openxmlformats.org/officeDocument/2006/docPropsVTypes"/>
</file>