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24.png" ContentType="image/png"/>
  <Override PartName="/word/media/rId21.png" ContentType="image/png"/>
  <Override PartName="/word/media/rId52.png" ContentType="image/png"/>
  <Override PartName="/word/media/rId73.png" ContentType="image/png"/>
  <Override PartName="/word/media/rId65.png" ContentType="image/png"/>
  <Override PartName="/word/media/rId68.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w:t>
      </w:r>
      <w:r>
        <w:rPr>
          <w:bCs/>
          <w:b/>
        </w:rPr>
        <w:t xml:space="preserve"> </w:t>
      </w:r>
      <w:r>
        <w:rPr>
          <w:vertAlign w:val="subscript"/>
          <w:bCs/>
          <w:b/>
        </w:rPr>
        <w:t xml:space="preserve">2</w:t>
      </w:r>
      <w:r>
        <w:rPr>
          <w:bCs/>
          <w:b/>
        </w:rPr>
        <w:t xml:space="preserve"> </w:t>
      </w:r>
      <w:r>
        <w:rPr>
          <w:bCs/>
          <w:b/>
        </w:rPr>
        <w:t xml:space="preserve">36.75 to 37.00 where heat contributes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4"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0"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Resolving the transformation by density class inside the sea ice zone shows that our pre-industrial state is not uniformly thermally driven, as the submitted version implied. Only one class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where heat supplies 70% of the transformation. Every denser class is haline dominated, with the sea ice term supplying 93% of the transformation above</w:t>
      </w:r>
      <w:r>
        <w:rPr>
          <w:bCs/>
          <w:b/>
        </w:rPr>
        <w:t xml:space="preserve"> </w:t>
      </w:r>
      <w:r>
        <w:rPr>
          <w:vertAlign w:val="subscript"/>
          <w:bCs/>
          <w:b/>
        </w:rPr>
        <w:t xml:space="preserve">2</w:t>
      </w:r>
      <w:r>
        <w:rPr>
          <w:bCs/>
          <w:b/>
        </w:rPr>
        <w:t xml:space="preserve"> </w:t>
      </w:r>
      <w:r>
        <w:rPr>
          <w:bCs/>
          <w:b/>
        </w:rPr>
        <w:t xml:space="preserve">= 37.00 kg m</w:t>
      </w:r>
      <w:r>
        <w:rPr>
          <w:vertAlign w:val="superscript"/>
          <w:bCs/>
          <w:b/>
        </w:rPr>
        <w:t xml:space="preserve">-3</w:t>
      </w:r>
      <w:r>
        <w:rPr>
          <w:bCs/>
          <w:b/>
        </w:rPr>
        <w:t xml:space="preserve">, and the classes lighter than 36.50 kg m</w:t>
      </w:r>
      <w:r>
        <w:rPr>
          <w:vertAlign w:val="superscript"/>
          <w:bCs/>
          <w:b/>
        </w:rPr>
        <w:t xml:space="preserve">-3</w:t>
      </w:r>
      <w:r>
        <w:rPr>
          <w:bCs/>
          <w:b/>
        </w:rPr>
        <w:t xml:space="preserve"> </w:t>
      </w:r>
      <w:r>
        <w:rPr>
          <w:bCs/>
          <w:b/>
        </w:rPr>
        <w:t xml:space="preserve">are dominated by the remaining freshwater terms at 14% thermal. The thermal signature that prompted this comment is therefore confined to one narrow band at mode and intermediate water densities, and it sits lighter than the bottom water cell that Pellichero et al. describe, which in neutral density terms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w:t>
      </w:r>
      <w:r>
        <w:rPr>
          <w:bCs/>
          <w:b/>
        </w:rPr>
        <w:t xml:space="preserve">against our maximum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w:t>
      </w:r>
    </w:p>
    <w:p>
      <w:pPr>
        <w:pStyle w:val="BodyText"/>
      </w:pPr>
      <w:r>
        <w:rPr>
          <w:color w:val="0000CC"/>
          <w:bCs/>
          <w:b/>
        </w:rPr>
        <w:t xml:space="preserve">The glacial states leave no such ambiguity. Every class in LGM and MIS3 is haline dominated, with thermal shares between 4% and 28%, and the sea ice term carries most of the transformation in the dense classes. The shift from a partly thermal interglacial to an unambiguously haline glacial is therefore visible class by class, not only in the integrated totals. Figure R2.2 in the response to Reviewer 2 shows the full decomposition for all five states.</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rPr>
          <w:color w:val="0000CC"/>
          <w:bCs/>
          <w:b/>
        </w:rPr>
        <w:t xml:space="preserve">Fourth, following this comment we have summarised the published model-data comparisons for these same simulations in the Methods, rather than leaving the reviewer to seek them in the earlier papers. We give both what matches and what does not. For the pre-industrial state, simulated precipitation agrees reasonably with GPCP, with local wet biases at the position of the Intertropical Convergence Zone. For the mid-Holocene the model reproduces the warming over western Europe, the north-south temperature dipole over eastern North America and the wetting over the southern Sahara and South Asia, but it simulates a cooler North Africa where the pollen reconstructions show warming, and it underestimates the wetting over the northern Sahara. For the last interglacial the Northern Hemisphere warming and the tropical and North African cooling both match the records, while the Antarctic warming that the proxies show is absent, which the earlier study attributes to the PMIP4 protocol holding the last interglacial ice sheet orography fixed at its pre-industrial configuration. For the Last Glacial Maximum model and proxies agree on the pronounced drying over most Northern Hemisphere continents, and for Marine Isotope Stage 3 no comprehensive compilation exists, so the comparison rests on individual sites.</w:t>
      </w:r>
    </w:p>
    <w:p>
      <w:pPr>
        <w:pStyle w:val="BodyText"/>
      </w:pPr>
      <w:r>
        <w:rPr>
          <w:color w:val="0000CC"/>
          <w:bCs/>
          <w:b/>
        </w:rPr>
        <w:t xml:space="preserve">One point deserves emphasis because it bears directly on this comment. None of those evaluations examines Southern Ocean hydrography, sea ice or overturning against observations. They therefore constrain the large-scale climate response of the model rather than the specific fields our analysis depends on, and we say so in the text rather than letting the reader assume otherwise.</w:t>
      </w:r>
    </w:p>
    <w:p>
      <w:pPr>
        <w:pStyle w:val="BodyText"/>
      </w:pPr>
      <w:r>
        <w:rPr>
          <w:color w:val="0000CC"/>
          <w:bCs/>
          <w:b/>
        </w:rPr>
        <w:t xml:space="preserve">In the revised manuscript the added passage reads:</w:t>
      </w:r>
    </w:p>
    <w:p>
      <w:pPr>
        <w:pStyle w:val="BodyText"/>
      </w:pPr>
      <w:r>
        <w:rPr>
          <w:color w:val="0000CC"/>
          <w:iCs/>
          <w:i/>
          <w:bCs/>
          <w:b/>
        </w:rPr>
        <w:t xml:space="preserve">“Because the balance of agreement and disagreement in those evaluations bears on how far the present results can be trusted, we summarise it here rather than leaving it to be sought in the earlier papers. For the pre-industrial state, Shi et al. (2025) find precipitation in reasonable agreement with the GPCP observations, with local wet biases at the position of the Intertropical Convergence Zone in both solstitial seasons, a bias common to other coupled models. For the interglacials, Shi et al. (2022) compare both generations of AWI-ESM against the pollen compilation of Bartlein et al. and the multi-archive compilation of Turney and Jones. The model reproduces the mid-Holocene warming over western Europe and the north-south dipole of the temperature anomaly over eastern North America, and it captures the sign and magnitude of the wetting over the southern Sahara and South Asia. It disagrees with the proxies over North Africa, where the simulated mid-Holocene is cooler than the pre-industrial while the reconstructions show warming, and it underestimates the mid-Holocene wetting over the northern Sahara. For the last interglacial the simulated Northern Hemisphere warming and the tropical and North African cooling both match the records, but the Antarctic warming that the proxies show is absent, which Shi et al. (2022) attribute to the PMIP4 protocol holding the last interglacial ice sheet orography fixed at its pre-industrial configuration. For the glacial states, Shi et al. (2023) document the Last Glacial Maximum configuration against the Bartlein pollen compilation and MARGO sea surface temperatures, and Shi et al. (2025) find that model and proxies agree on the pronounced drying over most Northern Hemisphere continents at the Last Glacial Maximum, while for Marine Isotope Stage 3 no comprehensive precipitation compilation exists and the comparison rests on individual sites. Across all four paleoclimate states the simulated anomalies are consistent with the PMIP4 ensemble. We note that none of these evaluations examines Southern Ocean hydrography, sea ice or overturning against observations, so they constrain the large-scale climate response of the model rather than the specific fields on which the present analysis depends.”</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and we reproduce both the table and the expanded text here so the reviewer does not have to open the manuscript to check them. Table 1 lists the greenhouse gas concentrations, orbital parameters and ice sheet configuration for all five experiments, and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R1.1 (manuscript Table 1). Boundary conditions prescribed in the five equilibrium simulations. Orbital parameters for PI are those of 1850 CE. Greenhouse gas concentrations are volume mixing ratios.</w:t>
      </w:r>
    </w:p>
    <w:p>
      <w:pPr>
        <w:pStyle w:val="BodyText"/>
      </w:pPr>
      <w:r>
        <w:rPr>
          <w:color w:val="0000CC"/>
          <w:bCs/>
          <w:b/>
        </w:rPr>
        <w:t xml:space="preserve">We have also expanded the surrounding text, since the reviewer is right that the implementation of GLAC-1D was underspecified. The point we had left implicit is that the reconstruction does not enter through one field but through several at once, including the ocean bathymetry, which is why each glacial period needs its own unstructured mesh.</w:t>
      </w:r>
    </w:p>
    <w:p>
      <w:pPr>
        <w:pStyle w:val="BodyText"/>
      </w:pPr>
      <w:r>
        <w:rPr>
          <w:color w:val="0000CC"/>
          <w:bCs/>
          <w:b/>
        </w:rPr>
        <w:t xml:space="preserve">In the revised manuscript the experimental design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1676399"/>
            <wp:effectExtent b="0" l="0" r="0" t="0"/>
            <wp:docPr descr="" title="" id="25" name="Picture"/>
            <a:graphic>
              <a:graphicData uri="http://schemas.openxmlformats.org/drawingml/2006/picture">
                <pic:pic>
                  <pic:nvPicPr>
                    <pic:cNvPr descr="/work/ba1066/a270064/cc_projects/aabw_5exps/nc_paper/SUBMISSION/letter_figs/figR15_mld_maps_5exps.png" id="26"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for the five states. The interglacial panels (a-c) use a 0-800 m scale with the 400 m contour in orange; the glacial panels (d-e) use a 0-300 m scale with the 200 m contour, because the glacial mixed layer never approaches 400 m and the shared scale would leave those panels featureless. The pre-industrial deep mixed layers sit in the interior of the Weddell gyre rather than over the shelf, which is the bias this comment asks about, and the same pattern holds in MH and LIG. In the glacial states only narrow coastal cells remain, in the Weddell, Prydz Bay and Ross sectors.</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735041"/>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PI to 1.7×10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LGM and 1.6×10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vertAlign w:val="superscript"/>
          <w:iCs/>
          <w:i/>
          <w:bCs/>
          <w:b/>
        </w:rPr>
        <w:t xml:space="preserve">-3</w:t>
      </w:r>
      <w:r>
        <w:rPr>
          <w:iCs/>
          <w:i/>
          <w:bCs/>
          <w:b/>
        </w:rPr>
        <w:t xml:space="preserve"> </w:t>
      </w:r>
      <w:r>
        <w:rPr>
          <w:iCs/>
          <w:i/>
          <w:bCs/>
          <w:b/>
        </w:rPr>
        <w:t xml:space="preserve">s</w:t>
      </w:r>
      <w:r>
        <w:rPr>
          <w:vertAlign w:val="superscript"/>
          <w:iCs/>
          <w:i/>
          <w:bCs/>
          <w:b/>
        </w:rPr>
        <w:t xml:space="preserve">-1</w:t>
      </w:r>
      <w:r>
        <w:rPr>
          <w:iCs/>
          <w:i/>
          <w:bCs/>
          <w:b/>
        </w:rPr>
        <w:t xml:space="preserve"> </w:t>
      </w:r>
      <w:r>
        <w:rPr>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w:t>
      </w:r>
      <w:r>
        <w:rPr>
          <w:bCs/>
          <w:b/>
        </w:rPr>
        <w:t xml:space="preserve"> </w:t>
      </w:r>
      <w:r>
        <w:rPr>
          <w:vertAlign w:val="subscript"/>
          <w:bCs/>
          <w:b/>
        </w:rPr>
        <w:t xml:space="preserve">2</w:t>
      </w:r>
      <w:r>
        <w:rPr>
          <w:bCs/>
          <w:b/>
        </w:rPr>
        <w:t xml:space="preserve"> </w:t>
      </w:r>
      <w:r>
        <w:rPr>
          <w:bCs/>
          <w:b/>
        </w:rPr>
        <w:t xml:space="preserve">= 37.0–37.5 kg m</w:t>
      </w:r>
      <w:r>
        <w:rPr>
          <w:vertAlign w:val="superscript"/>
          <w:bCs/>
          <w:b/>
        </w:rPr>
        <w:t xml:space="preserve">-3</w:t>
      </w:r>
      <w:r>
        <w:rPr>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bookmarkStart w:id="58"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5"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45" name="Picture"/>
            <a:graphic>
              <a:graphicData uri="http://schemas.openxmlformats.org/drawingml/2006/picture">
                <pic:pic>
                  <pic:nvPicPr>
                    <pic:cNvPr descr="/work/ba1066/a270064/cc_projects/aabw_5exps/nc_paper/SUBMISSION/letter_figs/figR1_wmt_domain_sensitivity.png" id="46"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48" name="Picture"/>
            <a:graphic>
              <a:graphicData uri="http://schemas.openxmlformats.org/drawingml/2006/picture">
                <pic:pic>
                  <pic:nvPicPr>
                    <pic:cNvPr descr="/work/ba1066/a270064/cc_projects/aabw_5exps/nc_paper/SUBMISSION/letter_figs/figR14_siz_gamma_5exps.png" id="49"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R2.2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1676399"/>
            <wp:effectExtent b="0" l="0" r="0" t="0"/>
            <wp:docPr descr="" title="" id="50" name="Picture"/>
            <a:graphic>
              <a:graphicData uri="http://schemas.openxmlformats.org/drawingml/2006/picture">
                <pic:pic>
                  <pic:nvPicPr>
                    <pic:cNvPr descr="/work/ba1066/a270064/cc_projects/aabw_5exps/nc_paper/SUBMISSION/letter_figs/figR15_mld_maps_5exps.png" id="51"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Where the model actually convects. Winter mixed layer depth south of 60°S for the five states. (a-c) use a 0-800 m scale with the 400 m contour in orange, (d-e) a 0-300 m scale with the 200 m contour, because the glacial mixed layer never approaches 400 m and would be featureless on the shared scale. In the pre-industrial state 70% of the area with a mixed layer deeper than 400 m, and 97% of the area deeper than 600 m, lies in the Weddell sector, centred near 68°S in the open gyre rather than over the shelf. In the glacial states only narrow coastal cells remain.</w:t>
      </w:r>
    </w:p>
    <w:p>
      <w:pPr>
        <w:pStyle w:val="BodyText"/>
      </w:pPr>
      <w:r>
        <w:rPr>
          <w:color w:val="0000CC"/>
          <w:bCs/>
          <w:b/>
        </w:rPr>
        <w:t xml:space="preserve">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3" name="Picture"/>
            <a:graphic>
              <a:graphicData uri="http://schemas.openxmlformats.org/drawingml/2006/picture">
                <pic:pic>
                  <pic:nvPicPr>
                    <pic:cNvPr descr="/work/ba1066/a270064/cc_projects/aabw_5exps/nc_paper/SUBMISSION/letter_figs/figR2_moc_5exps.png" id="54"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R2.4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55"/>
    <w:bookmarkStart w:id="56"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6"/>
    <w:bookmarkStart w:id="57"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rPr>
          <w:color w:val="0000CC"/>
          <w:iCs/>
          <w:i/>
          <w:bCs/>
          <w:b/>
        </w:rP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7"/>
    <w:bookmarkEnd w:id="58"/>
    <w:bookmarkStart w:id="78"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6"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1676399"/>
            <wp:effectExtent b="0" l="0" r="0" t="0"/>
            <wp:docPr descr="" title="" id="59" name="Picture"/>
            <a:graphic>
              <a:graphicData uri="http://schemas.openxmlformats.org/drawingml/2006/picture">
                <pic:pic>
                  <pic:nvPicPr>
                    <pic:cNvPr descr="/work/ba1066/a270064/cc_projects/aabw_5exps/nc_paper/SUBMISSION/letter_figs/figR15_mld_maps_5exps.png" id="60"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Winter mixed layer depth south of 60°S for the five states. (a-c) use a 0-800 m scale with the 400 m contour in orange, (d-e) a 0-300 m scale with the 200 m contour, because the glacial mixed layer never approaches 400 m and would be featureless on the shared scale. The pre-industrial deep mixed layers lie in the interior of the Weddell gyre rather than on the shelf, which is the bias the reviewer identified, and the same holds in MH and LIG. In the glacial states the deep convection contracts to narrow coastal cells.</w:t>
      </w:r>
    </w:p>
    <w:p>
      <w:pPr>
        <w:pStyle w:val="BodyText"/>
      </w:pPr>
      <w:r>
        <w:rPr>
          <w:color w:val="0000CC"/>
          <w:bCs/>
          <w:b/>
        </w:rPr>
        <w:t xml:space="preserve">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and it produced a more specific answer than we expected. Three things separate our result from the observations, and they are not equally important.</w:t>
      </w:r>
    </w:p>
    <w:p>
      <w:pPr>
        <w:pStyle w:val="BodyText"/>
      </w:pPr>
      <w:r>
        <w:rPr>
          <w:color w:val="0000CC"/>
          <w:bCs/>
          <w:b/>
        </w:rPr>
        <w:t xml:space="preserve">The smallest is the integration domain. 42.7% of our published domain lies outside the September sea ice edge and is water the observational study does not analyse. Restricting to their domain moves the partition in their direction but does not reverse it.</w:t>
      </w:r>
    </w:p>
    <w:p>
      <w:pPr>
        <w:pStyle w:val="BodyText"/>
      </w:pPr>
      <w:r>
        <w:rPr>
          <w:color w:val="0000CC"/>
          <w:bCs/>
          <w:b/>
        </w:rPr>
        <w:t xml:space="preserve">The largest is the density range, and this is best seen class by class rather than as a single integrated share. Resolving the transformation by density inside the sea ice zone shows that our pre-industrial state is not uniformly thermally driven at all. One class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thermal. Every denser class is haline dominated, with sea ice supplying 93% of the transformation above</w:t>
      </w:r>
      <w:r>
        <w:rPr>
          <w:bCs/>
          <w:b/>
        </w:rPr>
        <w:t xml:space="preserve"> </w:t>
      </w:r>
      <w:r>
        <w:rPr>
          <w:vertAlign w:val="subscript"/>
          <w:bCs/>
          <w:b/>
        </w:rPr>
        <w:t xml:space="preserve">2</w:t>
      </w:r>
      <w:r>
        <w:rPr>
          <w:bCs/>
          <w:b/>
        </w:rPr>
        <w:t xml:space="preserve"> </w:t>
      </w:r>
      <w:r>
        <w:rPr>
          <w:bCs/>
          <w:b/>
        </w:rPr>
        <w:t xml:space="preserve">= 37.00 kg m</w:t>
      </w:r>
      <w:r>
        <w:rPr>
          <w:vertAlign w:val="superscript"/>
          <w:bCs/>
          <w:b/>
        </w:rPr>
        <w:t xml:space="preserve">-3</w:t>
      </w:r>
      <w:r>
        <w:rPr>
          <w:bCs/>
          <w:b/>
        </w:rPr>
        <w:t xml:space="preserve">, and the lighter classes are dominated by the remaining freshwater terms. Our thermal signature is therefore confined to one band at mode and intermediate water densities, which sits lighter than the bottom water cell the observations describe. Where the two analyses overlap in density, they agree.</w:t>
      </w:r>
    </w:p>
    <w:p>
      <w:pPr>
        <w:pStyle w:val="BodyText"/>
      </w:pPr>
      <w:r>
        <w:rPr>
          <w:color w:val="0000CC"/>
          <w:bCs/>
          <w:b/>
        </w:rPr>
        <w:t xml:space="preserve">The third is what remains after the first two are accounted for, and it is a real bias rather than a bookkeeping difference. We return to it below.</w:t>
      </w:r>
    </w:p>
    <w:p>
      <w:pPr>
        <w:pStyle w:val="BodyText"/>
      </w:pPr>
      <w:r>
        <w:drawing>
          <wp:inline>
            <wp:extent cx="5334000" cy="2376054"/>
            <wp:effectExtent b="0" l="0" r="0" t="0"/>
            <wp:docPr descr="" title="" id="61" name="Picture"/>
            <a:graphic>
              <a:graphicData uri="http://schemas.openxmlformats.org/drawingml/2006/picture">
                <pic:pic>
                  <pic:nvPicPr>
                    <pic:cNvPr descr="/work/ba1066/a270064/cc_projects/aabw_5exps/nc_paper/SUBMISSION/letter_figs/figR14_siz_gamma_5exps.png" id="62" name="Picture"/>
                    <pic:cNvPicPr>
                      <a:picLocks noChangeArrowheads="1" noChangeAspect="1"/>
                    </pic:cNvPicPr>
                  </pic:nvPicPr>
                  <pic:blipFill>
                    <a:blip r:embed="rId47"/>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R3.2 (new analysis).</w:t>
      </w:r>
      <w:r>
        <w:rPr>
          <w:iCs/>
          <w:i/>
        </w:rPr>
        <w:t xml:space="preserve"> </w:t>
      </w:r>
      <w:r>
        <w:rPr>
          <w:iCs/>
          <w:i/>
        </w:rPr>
        <w:t xml:space="preserve">Transformation in the seasonal sea ice zone, resolved by density class, for all five climate states. The upper row gives the total transformation in grey with its thermal, sea ice and other freshwater contributions; the lower row gives the thermal share, with the haline dominated band shaded green and the thermally dominated band shaded pink. Only one pre-industrial class reaches thermal dominance. Both glacial states are haline dominated in every class, at 4-28% thermal, which is the regime shift the paper reports.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drawing>
          <wp:inline>
            <wp:extent cx="5334000" cy="2185606"/>
            <wp:effectExtent b="0" l="0" r="0" t="0"/>
            <wp:docPr descr="" title="" id="63" name="Picture"/>
            <a:graphic>
              <a:graphicData uri="http://schemas.openxmlformats.org/drawingml/2006/picture">
                <pic:pic>
                  <pic:nvPicPr>
                    <pic:cNvPr descr="/work/ba1066/a270064/cc_projects/aabw_5exps/nc_paper/SUBMISSION/letter_figs/figR1_wmt_domain_sensitivity.png" id="6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R3.3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rPr>
          <w:color w:val="0000CC"/>
          <w:iCs/>
          <w:i/>
          <w:bCs/>
          <w:b/>
        </w:rP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 γ</w:t>
      </w:r>
      <w:r>
        <w:rPr>
          <w:vertAlign w:val="subscript"/>
          <w:iCs/>
          <w:i/>
          <w:bCs/>
          <w:b/>
        </w:rPr>
        <w:t xml:space="preserve">n</w:t>
      </w:r>
      <w:r>
        <w:rPr>
          <w:iCs/>
          <w:i/>
          <w:bCs/>
          <w:b/>
        </w:rPr>
        <w:t xml:space="preserve"> </w:t>
      </w:r>
      <w:r>
        <w:rPr>
          <w:iCs/>
          <w:i/>
          <w:bCs/>
          <w:b/>
        </w:rPr>
        <w:t xml:space="preserve">≈ 27.3 kg m</w:t>
      </w:r>
      <w:r>
        <w:rPr>
          <w:vertAlign w:val="superscript"/>
          <w:iCs/>
          <w:i/>
          <w:bCs/>
          <w:b/>
        </w:rPr>
        <w:t xml:space="preserve">-3</w:t>
      </w:r>
      <w:r>
        <w:rPr>
          <w:iCs/>
          <w:i/>
          <w:bCs/>
          <w:b/>
        </w:rPr>
        <w:t xml:space="preserve">, whereas the haline-dominated lower cell they describe occupies γ</w:t>
      </w:r>
      <w:r>
        <w:rPr>
          <w:vertAlign w:val="subscript"/>
          <w:iCs/>
          <w:i/>
          <w:bCs/>
          <w:b/>
        </w:rPr>
        <w:t xml:space="preserve">n</w:t>
      </w:r>
      <w:r>
        <w:rPr>
          <w:iCs/>
          <w:i/>
          <w:bCs/>
          <w:b/>
        </w:rPr>
        <w:t xml:space="preserve"> </w:t>
      </w:r>
      <w:r>
        <w:rPr>
          <w:iCs/>
          <w:i/>
          <w:bCs/>
          <w:b/>
        </w:rPr>
        <w:t xml:space="preserve">= 27.9-28.8 kg m</w:t>
      </w:r>
      <w:r>
        <w:rPr>
          <w:vertAlign w:val="superscript"/>
          <w:iCs/>
          <w:i/>
          <w:bCs/>
          <w:b/>
        </w:rPr>
        <w:t xml:space="preserve">-3</w:t>
      </w:r>
      <w:r>
        <w:rPr>
          <w:iCs/>
          <w:i/>
          <w:bCs/>
          <w:b/>
        </w:rPr>
        <w:t xml:space="preserve">. Our surface transformation barely reaches the lighter edge of that range. In the densest classes our fluxes do populate (</w:t>
      </w:r>
      <w:r>
        <w:rPr>
          <w:vertAlign w:val="subscript"/>
          <w:iCs/>
          <w:i/>
          <w:bCs/>
          <w:b/>
        </w:rPr>
        <w:t xml:space="preserve">2</w:t>
      </w:r>
      <w:r>
        <w:rPr>
          <w:iCs/>
          <w:i/>
          <w:bCs/>
          <w:b/>
        </w:rPr>
        <w:t xml:space="preserve"> </w:t>
      </w:r>
      <w:r>
        <w:rPr>
          <w:iCs/>
          <w:i/>
          <w:bCs/>
          <w:b/>
        </w:rPr>
        <w:t xml:space="preserve">≥ 37.0 kg m</w:t>
      </w:r>
      <w:r>
        <w:rPr>
          <w:vertAlign w:val="superscript"/>
          <w:iCs/>
          <w:i/>
          <w:bCs/>
          <w:b/>
        </w:rPr>
        <w:t xml:space="preserve">-3</w:t>
      </w:r>
      <w:r>
        <w:rPr>
          <w:iCs/>
          <w:i/>
          <w:bCs/>
          <w:b/>
        </w:rPr>
        <w:t xml:space="preserve">),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6" name="Picture"/>
            <a:graphic>
              <a:graphicData uri="http://schemas.openxmlformats.org/drawingml/2006/picture">
                <pic:pic>
                  <pic:nvPicPr>
                    <pic:cNvPr descr="/work/ba1066/a270064/cc_projects/aabw_5exps/nc_paper/SUBMISSION/letter_figs/figR4_sam_push_pull.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9" name="Picture"/>
            <a:graphic>
              <a:graphicData uri="http://schemas.openxmlformats.org/drawingml/2006/picture">
                <pic:pic>
                  <pic:nvPicPr>
                    <pic:cNvPr descr="/work/ba1066/a270064/cc_projects/aabw_5exps/nc_paper/SUBMISSION/letter_figs/figR5_sam_wind_ice.png" id="70" name="Picture"/>
                    <pic:cNvPicPr>
                      <a:picLocks noChangeArrowheads="1" noChangeAspect="1"/>
                    </pic:cNvPicPr>
                  </pic:nvPicPr>
                  <pic:blipFill>
                    <a:blip r:embed="rId68"/>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R3.5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rPr>
          <w:color w:val="0000CC"/>
          <w:iCs/>
          <w:i/>
          <w:bCs/>
          <w:b/>
        </w:rPr>
        <w:t xml:space="preserve">“Residual drift over the analysis period is small relative to the paleoclimate signals of interest. The trend in global mean 2 m temperature across the final century is +0.02 K century</w:t>
      </w:r>
      <w:r>
        <w:rPr>
          <w:vertAlign w:val="superscript"/>
          <w:iCs/>
          <w:i/>
          <w:bCs/>
          <w:b/>
        </w:rPr>
        <w:t xml:space="preserve">-1</w:t>
      </w:r>
      <w:r>
        <w:rPr>
          <w:iCs/>
          <w:i/>
          <w:bCs/>
          <w:b/>
        </w:rPr>
        <w:t xml:space="preserve"> </w:t>
      </w:r>
      <w:r>
        <w:rPr>
          <w:iCs/>
          <w:i/>
          <w:bCs/>
          <w:b/>
        </w:rPr>
        <w:t xml:space="preserve">for PI, -0.03 for MH, -0.06 for LIG, +0.04 for LGM and +0.10 for MIS3. The LIG and MIS3 values exceed the 0.05 K century</w:t>
      </w:r>
      <w:r>
        <w:rPr>
          <w:vertAlign w:val="superscript"/>
          <w:iCs/>
          <w:i/>
          <w:bCs/>
          <w:b/>
        </w:rPr>
        <w:t xml:space="preserve">-1</w:t>
      </w:r>
      <w:r>
        <w:rPr>
          <w:iCs/>
          <w:i/>
          <w:bCs/>
          <w:b/>
        </w:rPr>
        <w:t xml:space="preserve"> </w:t>
      </w:r>
      <w:r>
        <w:rPr>
          <w:iCs/>
          <w:i/>
          <w:bCs/>
          <w:b/>
        </w:rPr>
        <w:t xml:space="preserve">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1" name="Picture"/>
            <a:graphic>
              <a:graphicData uri="http://schemas.openxmlformats.org/drawingml/2006/picture">
                <pic:pic>
                  <pic:nvPicPr>
                    <pic:cNvPr descr="/work/ba1066/a270064/cc_projects/aabw_5exps/nc_paper/SUBMISSION/letter_figs/figR2_moc_5exps.png" id="72" name="Picture"/>
                    <pic:cNvPicPr>
                      <a:picLocks noChangeArrowheads="1" noChangeAspect="1"/>
                    </pic:cNvPicPr>
                  </pic:nvPicPr>
                  <pic:blipFill>
                    <a:blip r:embed="rId52"/>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4" name="Picture"/>
            <a:graphic>
              <a:graphicData uri="http://schemas.openxmlformats.org/drawingml/2006/picture">
                <pic:pic>
                  <pic:nvPicPr>
                    <pic:cNvPr descr="/work/ba1066/a270064/cc_projects/aabw_5exps/nc_paper/SUBMISSION/letter_figs/figR3_age_global.png" id="75" name="Picture"/>
                    <pic:cNvPicPr>
                      <a:picLocks noChangeArrowheads="1" noChangeAspect="1"/>
                    </pic:cNvPicPr>
                  </pic:nvPicPr>
                  <pic:blipFill>
                    <a:blip r:embed="rId73"/>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6"/>
    <w:bookmarkStart w:id="77"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&gt;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see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&gt; see what arises from local dynamics.</w:t>
      </w:r>
    </w:p>
    <w:p>
      <w:pPr>
        <w:pStyle w:val="BodyText"/>
      </w:pPr>
      <w:r>
        <w:rPr>
          <w:color w:val="0000CC"/>
          <w:bCs/>
          <w:b/>
        </w:rPr>
        <w:t xml:space="preserve">This is a good suggestion. The glacial salinity anomalies 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rPr>
          <w:color w:val="0000CC"/>
          <w:iCs/>
          <w:i/>
          <w:bCs/>
          <w:b/>
        </w:rP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w:t>
      </w:r>
    </w:p>
    <w:p>
      <w:pPr>
        <w:pStyle w:val="BodyText"/>
      </w:pPr>
      <w:r>
        <w:rPr>
          <w:color w:val="0000CC"/>
          <w:bCs/>
          <w:b/>
        </w:rPr>
        <w:t xml:space="preserve">Moved.</w:t>
      </w:r>
    </w:p>
    <w:p>
      <w:pPr>
        <w:pStyle w:val="BodyText"/>
      </w:pPr>
      <w:r>
        <w:t xml:space="preserve">L291-297: this point seems fundamental to the rest of the manuscript.</w:t>
      </w:r>
    </w:p>
    <w:p>
      <w:pPr>
        <w:pStyle w:val="BodyText"/>
      </w:pPr>
      <w:r>
        <w:rPr>
          <w:color w:val="0000CC"/>
          <w:bCs/>
          <w:b/>
        </w:rPr>
        <w:t xml:space="preserve">Agreed; addressed at length above.</w:t>
      </w:r>
    </w:p>
    <w:p>
      <w:pPr>
        <w:pStyle w:val="BodyText"/>
      </w:pPr>
      <w:r>
        <w:t xml:space="preserve">L302-305: can't you just compare you model results directly in the regions with observations?</w:t>
      </w:r>
    </w:p>
    <w:p>
      <w:pPr>
        <w:pStyle w:val="BodyText"/>
      </w:pPr>
      <w:r>
        <w:rPr>
          <w:color w:val="0000CC"/>
          <w:bCs/>
          <w:b/>
        </w:rPr>
        <w:t xml:space="preserve">Done; see above and Fig. 8.</w:t>
      </w:r>
    </w:p>
    <w:p>
      <w:pPr>
        <w:pStyle w:val="BodyText"/>
      </w:pPr>
      <w:r>
        <w:t xml:space="preserve">L339: this would be great, but sed rates around the Antarctic margin are very low.</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&gt; aging.</w:t>
      </w:r>
    </w:p>
    <w:p>
      <w:pPr>
        <w:pStyle w:val="BodyText"/>
      </w:pPr>
      <w:r>
        <w:rPr>
          <w:color w:val="0000CC"/>
          <w:bCs/>
          <w:b/>
        </w:rPr>
        <w:t xml:space="preserve">Corrected. The text now refers to the radiocarbon age of dissolved inorganic carbon.</w:t>
      </w:r>
    </w:p>
    <w:p>
      <w:pPr>
        <w:pStyle w:val="BodyText"/>
      </w:pPr>
      <w:r>
        <w:t xml:space="preserve">General comment on the figures: would it be possible to show whats happening under the ice &gt;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w:t>
      </w:r>
    </w:p>
    <w:p>
      <w:pPr>
        <w:pStyle w:val="BodyText"/>
      </w:pPr>
      <w:r>
        <w:rPr>
          <w:color w:val="0000CC"/>
          <w:bCs/>
          <w:b/>
        </w:rPr>
        <w:t xml:space="preserve">Done throughout; Reviewer 1 made the same request.</w:t>
      </w:r>
    </w:p>
    <w:bookmarkEnd w:id="77"/>
    <w:bookmarkEnd w:id="78"/>
    <w:bookmarkStart w:id="79"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79"/>
    <w:bookmarkStart w:id="80"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2" Target="media/rId5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2026-09-23T14:36:34Z</dcterms:created>
  <dcterms:modified xsi:type="dcterms:W3CDTF">2026-09-23T14:36:34Z</dcterms:modified>
</cp:coreProperties>
</file>

<file path=docProps/custom.xml><?xml version="1.0" encoding="utf-8"?>
<Properties xmlns="http://schemas.openxmlformats.org/officeDocument/2006/custom-properties" xmlns:vt="http://schemas.openxmlformats.org/officeDocument/2006/docPropsVTypes"/>
</file>