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7.png" ContentType="image/png"/>
  <Override PartName="/word/media/rId21.png" ContentType="image/png"/>
  <Override PartName="/word/media/rId36.png" ContentType="image/png"/>
  <Override PartName="/word/media/rId39.png" ContentType="image/png"/>
  <Override PartName="/word/media/rId4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their detailed and constructive comments, which helped a lot improve the manuscript. A question is pointed out, namely the comparison between our pre-industrial result and observation-based transformation estimates for the modern Southern Ocean. We took that seriously and ran the diagnostic tests that Reviewers 2 and 3 proposed. The result is more informative than we expected.</w:t>
      </w:r>
    </w:p>
    <w:p>
      <w:pPr>
        <w:pStyle w:val="BodyText"/>
      </w:pPr>
      <w:r>
        <w:rPr>
          <w:color w:val="0000CC"/>
          <w:bCs/>
          <w:b/>
        </w:rPr>
        <w:t xml:space="preserve">We firstly compare our result with the classic WMT observation from Pellichero et al. (2018). In our manuscript, 42.7% of the studied area we integrated over lies outside the sea ice edge and is therefore water region that Pellichero et al. did not include. After we apply WMT analysis over the same domain and the same season as Pellichero et al. did, we got a WMT curve similar as theirs, and freshwater component dominate the light water class (&lt; 27.1 kg/m3) and the dense water class (&gt; 27.67 kg/m3), while the thermal signature is confined to a band at intermediate water densities. Thus the driving component for WMT is actually mixed. The second reason is that Pellichero et al. worked from a different kind of quantity than ours. Their estimate rests on Argo floats, ship-based profiles and instrumented marine mammals, the last being the only platform that samples under winter sea ice, with the ice edge taken from SMMR and SSM/I passive microwave data for 2000 to 2015 and the geostrophic term from AVISO mean dynamic topography for 1993 to 2012. They do not measure the surface fluxes at all. They solve the mixed layer heat and salt budgets with the flux as the unknown, so what they recover is the surface flux together with the diapycnal mixing term, which that budget cannot separate, whereas our model diagnoses the surface flux alone. The uncertainties they state are the mixed layer detection method, the instrumental errors in pressure, temperature and conductivity, and the spatial sampling, which is sparsest in precisely the ice-covered region that matters most here. Some difference is therefore unavoidable before any model bias is considered. Their freshwater term, on the other hand, is the same quantity as ours. They define it as the flux from evaporation, precipitation and ice formation or melt, so it carries the sea ice contribution exactly as our total freshwater term does. Note that Southern Ocean is more warm and too fresh near Antarctica compared to observation, a bias shared by most coupled models, and this pushes our WMT curve toward lighter density than the Pellichero et al. describe, which is to say our whole curve is displaced toward the light end relative to theirs. We now state this plainly. What the paper claims, however, is the relative change between climate states rather than the absolute values. On that basis we consider the regime shift robust, and we have bounded the rest of our claims accordingly.</w:t>
      </w:r>
    </w:p>
    <w:p>
      <w:pPr>
        <w:pStyle w:val="BodyText"/>
      </w:pPr>
      <w:r>
        <w:rPr>
          <w:color w:val="0000CC"/>
          <w:bCs/>
          <w:b/>
        </w:rPr>
        <w:t xml:space="preserve">We then compare our result with the ORAS5 reanalysis for 1999 to 2018, the Argo-rich part of the record where the assimilation constrains the Southern Ocean most strongly. ORAS5 carries no sea ice thermodynamic term in its freshwater flux, so we removed the sea ice contribution from our own flux as well and compared the same two terms on each side, heat and evaporation minus precipitation minus runoff. Over the sea ice zone in the annual mean, the same domain as Pellichero et al., the two agree closely: our densification branch peaks at +5.0 Sv against +4.4 Sv in ORAS5, one density class apart, and both show the light-end buoyancy gain, ours reaching -8.0 Sv against -12.9 Sv. Over the domain and season our paper uses, south of 60°S in JJA, both curves are positive almost everywhere and peak in the same density class, but ours is the stronger of the two, +62.9 against +36.8 Sv. We read the agreement in sign, shape and peak location as support for the diagnostic, and the winter amplitude difference as a consequence of our deeper and more extensive winter mixed layers, which expose more water to the atmosphere than the reanalysis does. In the densest classes neither curve sustains transformation, which is expected once the brine input is removed from both sides.</w:t>
      </w:r>
    </w:p>
    <w:p>
      <w:pPr>
        <w:pStyle w:val="BodyText"/>
      </w:pPr>
      <w:r>
        <w:rPr>
          <w:color w:val="0000CC"/>
          <w:bCs/>
          <w:b/>
        </w:rPr>
        <w:t xml:space="preserve">The ORAS5 comparison is informative but it is not independent validation, and the revised text says so. ORAS5 is a model constrained by observations rather than a measurement, and the two fields this calculation needs are the two that are least constrained, since no observing system measures an air-sea flux directly. That is the same objection Pellichero et al. raise when they decline to use reanalysis fluxes, writing that in the Southern Ocean such products are poorly constrained and essentially unusable in the seasonally ice-covered region.</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bookmarkEnd w:id="20"/>
    <w:bookmarkStart w:id="49" w:name="response-to-comments-by-reviewer-1"/>
    <w:p>
      <w:pPr>
        <w:pStyle w:val="Heading1"/>
      </w:pPr>
      <w:r>
        <w:t xml:space="preserve">Response to comments by 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the constructive general comments and a thorough list of specific comments.</w:t>
      </w:r>
    </w:p>
    <w:bookmarkStart w:id="35" w:name="general-comments"/>
    <w:p>
      <w:pPr>
        <w:pStyle w:val="Heading2"/>
      </w:pPr>
      <w:r>
        <w:t xml:space="preserve">General comments</w:t>
      </w:r>
    </w:p>
    <w:bookmarkStart w:id="24" w:name="X1960b3ed9d369e12345b661e2632536d43b149f"/>
    <w:p>
      <w:pPr>
        <w:pStyle w:val="Heading3"/>
      </w:pPr>
      <w:r>
        <w:t xml:space="preserve">Model evaluation and confidence in simulated dense water formation</w:t>
      </w:r>
    </w:p>
    <w:p>
      <w:pPr>
        <w:pStyle w:val="FirstParagraph"/>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Authors' response:</w:t>
      </w:r>
    </w:p>
    <w:p>
      <w:pPr>
        <w:pStyle w:val="BodyText"/>
      </w:pPr>
      <w:r>
        <w:rPr>
          <w:color w:val="0000CC"/>
          <w:bCs/>
          <w:b/>
        </w:rPr>
        <w:t xml:space="preserve">We agree with the reviewer. This concern also overlaps with those from Reviewers 2 and 3. Our response has three parts.</w:t>
      </w:r>
    </w:p>
    <w:p>
      <w:pPr>
        <w:pStyle w:val="BodyText"/>
      </w:pPr>
      <w:r>
        <w:rPr>
          <w:color w:val="0000CC"/>
          <w:bCs/>
          <w:b/>
        </w:rPr>
        <w:t xml:space="preserve">The reviewer is right that Figure A4 showed only model curves. We now place our pre-industrial transformation beside the observation-based estimate of Pellichero et al. (2018). The result of Pellichero et al. comes from Argo floats, ship-based observations and instrumented marine mammals, the only platform that samples under winter sea ice; the ice edge comes from SMMR and SSM/I passive microwave data for 2000-2015, and the geostrophic term from AVISO mean dynamic topography for 1993-2012. We cannot reproduce that calculation, because it rests on a seal-tag mixed layer database those authors assembled and we do not have. We have therefore compared our figure against their published figure.</w:t>
      </w:r>
    </w:p>
    <w:p>
      <w:pPr>
        <w:pStyle w:val="BodyText"/>
      </w:pPr>
      <w:r>
        <w:rPr>
          <w:color w:val="0000CC"/>
          <w:bCs/>
          <w:b/>
        </w:rPr>
        <w:t xml:space="preserve">To match Pellichero et al. (2018), we recomputed our transformation over the same sector enclosed by the September 15% sea ice concentration, and took the annual mean instead of the austral winter mean used elsewhere in our manuscript.</w:t>
      </w:r>
    </w:p>
    <w:p>
      <w:pPr>
        <w:pStyle w:val="BodyText"/>
      </w:pPr>
      <w:r>
        <w:drawing>
          <wp:inline>
            <wp:extent cx="5334000" cy="5943600"/>
            <wp:effectExtent b="0" l="0" r="0" t="0"/>
            <wp:docPr descr="" title="" id="22" name="Picture"/>
            <a:graphic>
              <a:graphicData uri="http://schemas.openxmlformats.org/drawingml/2006/picture">
                <pic:pic>
                  <pic:nvPicPr>
                    <pic:cNvPr descr="/work/ba1066/a270064/cc_projects/aabw_5exps/nc_paper/SUBMISSION/letter_figs/figR20_wmt_merged.png" id="23" name="Picture"/>
                    <pic:cNvPicPr>
                      <a:picLocks noChangeArrowheads="1" noChangeAspect="1"/>
                    </pic:cNvPicPr>
                  </pic:nvPicPr>
                  <pic:blipFill>
                    <a:blip r:embed="rId21"/>
                    <a:stretch>
                      <a:fillRect/>
                    </a:stretch>
                  </pic:blipFill>
                  <pic:spPr bwMode="auto">
                    <a:xfrm>
                      <a:off x="0" y="0"/>
                      <a:ext cx="5334000" cy="5943600"/>
                    </a:xfrm>
                    <a:prstGeom prst="rect">
                      <a:avLst/>
                    </a:prstGeom>
                    <a:noFill/>
                    <a:ln w="9525">
                      <a:noFill/>
                      <a:headEnd/>
                      <a:tailEnd/>
                    </a:ln>
                  </pic:spPr>
                </pic:pic>
              </a:graphicData>
            </a:graphic>
          </wp:inline>
        </w:drawing>
      </w:r>
    </w:p>
    <w:p>
      <w:pPr>
        <w:pStyle w:val="BodyText"/>
      </w:pPr>
      <w:r>
        <w:rPr>
          <w:bCs/>
          <w:b/>
          <w:iCs/>
          <w:i/>
        </w:rPr>
        <w:t xml:space="preserve">Figure R1.1 (new analysis).</w:t>
      </w:r>
      <w:r>
        <w:rPr>
          <w:iCs/>
          <w:i/>
        </w:rPr>
        <w:t xml:space="preserve"> </w:t>
      </w:r>
      <w:r>
        <w:rPr>
          <w:iCs/>
          <w:i/>
        </w:rPr>
        <w:t xml:space="preserve">Transformation rate against neutral density γ, in three comparisons. Top row, the seasonal sea ice zone in the annual mean, with all terms present: (a) our pre-industrial state, decomposed into the heat, freshwater and sea ice contributions, and (b) the observational estimate of Pellichero et al. (2018), their Fig. 3a, reproduced for comparison. Pink shading in (a) marks where the heat term carries the total and blue shading where the freshwater term does, classified point by point along the drawn curve rather than by density bin, which places the thermally driven band at γ = 27.10–27.68 kg m</w:t>
      </w:r>
      <w:r>
        <w:rPr>
          <w:vertAlign w:val="superscript"/>
          <w:iCs/>
          <w:i/>
        </w:rPr>
        <w:t xml:space="preserve">-3</w:t>
      </w:r>
      <w:r>
        <w:rPr>
          <w:iCs/>
          <w:i/>
        </w:rPr>
        <w:t xml:space="preserve">. Middle row, the same domain and season against the ORAS5 reanalysis for 1999-2018: (c) our state with the sea ice contribution removed and (d) ORAS5, which carries heat and evaporation minus precipitation minus runoff only. Bottom row, the domain and season the paper itself uses, south of 60°S in JJA: (e) ours with the sea ice contribution removed and (f) ORAS5. Rows two and three are unshaded, because with the sea ice term absent from both sides a heat-against-freshwater classification would describe an incomplete freshwater flux and read as a physical result rather than a missing field. Our simulated surface water is lighter than observed, so equal γ does not identify the same water mass across panels.</w:t>
      </w:r>
    </w:p>
    <w:p>
      <w:pPr>
        <w:pStyle w:val="BodyText"/>
      </w:pPr>
      <w:r>
        <w:rPr>
          <w:color w:val="0000CC"/>
          <w:bCs/>
          <w:b/>
        </w:rPr>
        <w:t xml:space="preserve">As seen in Fig. R1.1a-b, the two curves share their structure. Both show buoyancy gain at the lighter classes, a zero crossing, and densification at the heavier classes, with the freshwater term carrying the light end and both curves converging towards zero at the dense end. Freshwater component dominate the light water class (&lt; 27.1 kg/m3) and the dense end (&gt; 27.67 kg/m3), shown by the blue shading in Fig. R1.1a, while the thermal signature is confined to a band at intermediate water densities, the pink shading in Fig. R1.1a. In our pre-industrial state the transformation reaches a minimum of -9.2 Sv, crosses zero, and peaks at +6.6 Sv; Pellichero et al. report a minimum near -22 Sv and a densification peak of 5±5 Sv. The sign structure and the order of magnitude of the densification branch therefore agree.</w:t>
      </w:r>
    </w:p>
    <w:p>
      <w:pPr>
        <w:pStyle w:val="BodyText"/>
      </w:pPr>
      <w:r>
        <w:rPr>
          <w:color w:val="0000CC"/>
          <w:bCs/>
          <w:b/>
        </w:rPr>
        <w:t xml:space="preserve">Two differences should be noted, and they are of different kinds. Our light-end buoyancy gain is weaker than theirs, and our whole curve sits at lighter densities, because the simulated Southern Ocean surface is fresher than observed; both follow from the same bias, which we quantify under model limitations below.</w:t>
      </w:r>
    </w:p>
    <w:p>
      <w:pPr>
        <w:pStyle w:val="BodyText"/>
      </w:pPr>
      <w:r>
        <w:rPr>
          <w:color w:val="0000CC"/>
          <w:bCs/>
          <w:b/>
        </w:rPr>
        <w:t xml:space="preserve">It should be noted that the difference could be definitional, and it sets a floor on how closely the two can ever agree. Pellichero et al. solve the mixed layer heat and salt budgets for the surface fluxes as the unknown, using the observed seasonal cycle of mixed layer temperature, salinity and depth together with Ekman and geostrophic advection and entrainment. Thus, what Pellichero et al. solve for is the surface flux together with the diapycnal mixing term, because the mixed layer budget cannot separate them, whereas our model diagnoses the surface flux alone. Some discrepancy is therefore expected before any model bias is considered, and the agreement in shape should be read in that light. Their freshwater term, by contrast, is the same quantity as ours, since they define it as the flux from evaporation, precipitation and ice formation or melt, so the sea ice contribution is included on both sides of that particular comparison.</w:t>
      </w:r>
    </w:p>
    <w:p>
      <w:pPr>
        <w:pStyle w:val="BodyText"/>
      </w:pPr>
      <w:r>
        <w:rPr>
          <w:color w:val="0000CC"/>
          <w:bCs/>
          <w:b/>
        </w:rPr>
        <w:t xml:space="preserve">The reviewer, and Reviewer 3, also asked whether we could compute an observational transformation ourselves from a reanalysis rather than citing a published one. A transformation budget needs the net surface heat flux, the net surface freshwater flux, and the sea ice thermodynamic salt flux. We checked the Copernicus ocean reanalyses, namely GLORYS12, the GREP ensemble and the analysis-forecast product, which carry temperature, salinity, velocity and sea ice state but no surface flux fields at all. ORAS5 does carry a net heat flux and a net water flux, but excluding the sea ice term: we tested its water flux inside the September ice zone and found no freezing signal, -1.2e-5 kg m-2 s-1 at peak freezing against -1.6e-5 at peak melt, so the field is evaporation minus precipitation minus runoff. Therefore, we calculate transformation based on ORAS5, and for consistency, we also remove the sea ice term from our model, then compare our model results with ORAS5.</w:t>
      </w:r>
    </w:p>
    <w:p>
      <w:pPr>
        <w:pStyle w:val="BodyText"/>
      </w:pPr>
      <w:r>
        <w:rPr>
          <w:color w:val="0000CC"/>
          <w:bCs/>
          <w:b/>
        </w:rPr>
        <w:t xml:space="preserve">The results are shown in Fig. R1.1c-f. Over the sea ice zone in the annual mean, panels (c) and (d), the agreement is close. Our densification branch peaks at +5.0 Sv and the ORAS5 branch at +4.4 Sv, one density class apart at γ 27.49 against 27.28, and both show the light-end buoyancy gain, ours reaching a minimum of -8.0 Sv against -12.9 Sv in the reanalysis. The sign structure, the position of the zero crossing and the magnitude of the densification peak therefore agree on a domain neither calculation was tuned to.</w:t>
      </w:r>
    </w:p>
    <w:p>
      <w:pPr>
        <w:pStyle w:val="BodyText"/>
      </w:pPr>
      <w:r>
        <w:rPr>
          <w:color w:val="0000CC"/>
          <w:bCs/>
          <w:b/>
        </w:rPr>
        <w:t xml:space="preserve">Over the domain and season the paper itself uses, south of 60°S in JJA, panels (e) and (f), the two agree in shape but not in amplitude. Both are positive almost everywhere, since in winter the whole sector is losing buoyancy, and both peak in the same density class at γ 27.28 and 27.08 respectively. Ours is the stronger, +62.9 Sv against +36.8 Sv. We do not attribute that gap to the reanalysis being correct. Our winter mixed layers south of 60°S are deeper and more extensive than in ORAS5, which exposes more water to the atmosphere and so supports more transformation, and the same bias is visible directly in the mixed layer depth comparison shown later in this response. We therefore read the winter comparison as agreement in sign, shape and density class, with an amplitude difference that follows from a mixed layer bias we document rather than from the diagnostic itself.</w:t>
      </w:r>
    </w:p>
    <w:p>
      <w:pPr>
        <w:pStyle w:val="BodyText"/>
      </w:pPr>
      <w:r>
        <w:rPr>
          <w:color w:val="0000CC"/>
          <w:bCs/>
          <w:b/>
        </w:rPr>
        <w:t xml:space="preserve">In the densest classes, above γ 27.7, neither curve sustains much transformation once the sea ice term is removed from both sides, which is the expected outcome: that is the class where brine rejection does the work, and it is exactly the term ORAS5 cannot supply. With the term restored, our own dense-class transformation is positive, which is the result the paper rests on and the one no available reanalysis can be used to check.</w:t>
      </w:r>
    </w:p>
    <w:p>
      <w:pPr>
        <w:pStyle w:val="BodyText"/>
      </w:pPr>
      <w:r>
        <w:rPr>
          <w:color w:val="0000CC"/>
          <w:iCs/>
          <w:i/>
          <w:bCs/>
          <w:b/>
        </w:rPr>
        <w:t xml:space="preserve">Two caveats bound what this comparison can support. ORAS5 is a model constrained by observations rather than a measurement, and the two fields the calculation needs are the two that are least constrained, since no observing system measures an air-sea flux directly; its heat flux is computed from ERA-Interim forcing and then adjusted by sea surface temperature restoring, not fitted to any flux observation. And Pellichero et al. themselves reject this approach for this region, writing that ocean buoyancy fluxes are commonly obtained from atmospheric reanalysis datasets but that "in the Southern Ocean such reanalysis products are poorly constrained, and essentially unusable in the seasonally sea-ice covered region." We therefore present the ORAS5 comparison as a consistency check on the diagnostic rather than as independent validation, and we continue to treat their published result as the observational reference.</w:t>
      </w:r>
    </w:p>
    <w:p>
      <w:pPr>
        <w:pStyle w:val="BodyText"/>
      </w:pPr>
      <w:r>
        <w:rPr>
          <w:color w:val="0000CC"/>
          <w:bCs/>
          <w:b/>
        </w:rPr>
        <w:t xml:space="preserve">Another point from the reviewer is about the discussion of known model strengths and biases in Southern Ocean stratification, sea ice, mixed-layer depth, and Antarctic Bottom Water formation. Since the second last comment of the reviewer specifically deals with "Model limitations", we refer to our response to that comment.</w:t>
      </w:r>
    </w:p>
    <w:bookmarkEnd w:id="24"/>
    <w:bookmarkStart w:id="25" w:name="boundary-conditions"/>
    <w:p>
      <w:pPr>
        <w:pStyle w:val="Heading3"/>
      </w:pPr>
      <w:r>
        <w:t xml:space="preserve">Boundary conditions</w:t>
      </w:r>
    </w:p>
    <w:p>
      <w:pPr>
        <w:pStyle w:val="FirstParagraph"/>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Following the reviewer's suggestion, we have provided a summary table (Table R1, manuscript Table 1), which lists the greenhouse gas concentrations, orbital parameters and ice sheet configuration for all five experiments.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 Boundary conditions prescribed in the five equilibrium simulations. Orbital parameters for PI are those of 1850 CE. Greenhouse gas concentrations are volume mixing ratios.</w:t>
      </w:r>
    </w:p>
    <w:p>
      <w:pPr>
        <w:pStyle w:val="BodyText"/>
      </w:pPr>
      <w:r>
        <w:rPr>
          <w:color w:val="0000CC"/>
          <w:bCs/>
          <w:b/>
        </w:rPr>
        <w:t xml:space="preserve">We also expanded the text describing the boundary conditions used in the experimental design, especially the implementation of the GLAC-1D ice-sheet reconstruction.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at once, and it is clearest to list them by the component that uses them. Specifically, the atmosphere component receives the ice sheet extent and surface elevation as orography, together with the land-sea mask implied by the lowered sea level. The land surface receives the same topography, from which river routing and vegetation distribution are derived. The ocean component receives bathymetry and a modified coastline. Because the ocean component uses an unstructured mesh, a changed coastline cannot be imposed on the existing grid and a dedicated mesh must be generated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does not include ice shelf cavities, so basal melt beneath floating ice shelves is not represented.”</w:t>
      </w:r>
    </w:p>
    <w:bookmarkEnd w:id="25"/>
    <w:bookmarkStart w:id="26" w:name="clarifying-several-interpretations"/>
    <w:p>
      <w:pPr>
        <w:pStyle w:val="Heading3"/>
      </w:pPr>
      <w:r>
        <w:t xml:space="preserve">Clarifying several interpretations</w:t>
      </w:r>
    </w:p>
    <w:p>
      <w:pPr>
        <w:pStyle w:val="FirstParagraph"/>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bookmarkEnd w:id="26"/>
    <w:bookmarkStart w:id="30" w:name="model-limitations"/>
    <w:p>
      <w:pPr>
        <w:pStyle w:val="Heading3"/>
      </w:pPr>
      <w:r>
        <w:t xml:space="preserve">Model limitations</w:t>
      </w:r>
    </w:p>
    <w:p>
      <w:pPr>
        <w:pStyle w:val="FirstParagraph"/>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Authors' response:</w:t>
      </w:r>
    </w:p>
    <w:p>
      <w:pPr>
        <w:pStyle w:val="BodyText"/>
      </w:pPr>
      <w:r>
        <w:rPr>
          <w:color w:val="0000CC"/>
          <w:bCs/>
          <w:b/>
        </w:rPr>
        <w:t xml:space="preserve">This comment asks specifically about bias, where the general comment above asked about evaluation, so we treat the two separately. We take the three quantities the reviewer names in turn, and in each case compare the pre-industrial simulation against observations rather than against the other climate states.</w:t>
      </w:r>
    </w:p>
    <w:p>
      <w:pPr>
        <w:pStyle w:val="BodyText"/>
      </w:pPr>
      <w:r>
        <w:rPr>
          <w:color w:val="0000CC"/>
          <w:bCs/>
          <w:b/>
        </w:rPr>
        <w:t xml:space="preserve">Before doing so, one limitation underlies all three and is best stated once. We diagnosed where the model actually forms its dense water. In the pre-industrial simulation the Weddell sector accounts for 70 per cent of the area with a winter mixed layer deeper than 400 m south of 55°S and 97 per cent of the area deeper than 600 m, centred near 68°S in the interior of the gyre rather than over the shelf. This is open-ocean convection, not the shelf overflow pathway that operates in the real ocean. It is a limitation shared across the current model generation rather than particular to AWI-ESM2: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Thanks for the comment. We now state the model limitation explicitly. We diagnosed where the model actually forms its dense water. In the pre-industrial simulation, the Weddell sector accounts for 70% of the area with a winter mixed layer deeper than 400 m south of 55°S, centred near 68°S in the interior of the gyre (see Figure R1.2). We note that this is a limitation shared across the current model generation.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The broad pattern is reproduced. Both the model and the reanalysis keep shallow mixed layers over most of the open Southern Ocean, deepen towards the Antarctic margin, and place the deepest water of the sector in the Atlantic sector. Where they part company is the Weddell gyre interior: the model opens a patch deeper than 400 m that the reanalysis does not have at all, and its Weddell sector mean is 128 m against 71 m. This is the open-ocean convection described above, and the comparison localises it rather than leaving it as an assertion.</w:t>
      </w:r>
    </w:p>
    <w:p>
      <w:pPr>
        <w:pStyle w:val="BodyText"/>
      </w:pPr>
      <w:r>
        <w:drawing>
          <wp:inline>
            <wp:extent cx="5334000" cy="2896913"/>
            <wp:effectExtent b="0" l="0" r="0" t="0"/>
            <wp:docPr descr="" title="" id="28" name="Picture"/>
            <a:graphic>
              <a:graphicData uri="http://schemas.openxmlformats.org/drawingml/2006/picture">
                <pic:pic>
                  <pic:nvPicPr>
                    <pic:cNvPr descr="/work/ba1066/a270064/cc_projects/aabw_5exps/nc_paper/SUBMISSION/letter_figs/figR17_mld_pi_vs_obs.png" id="29" name="Picture"/>
                    <pic:cNvPicPr>
                      <a:picLocks noChangeArrowheads="1" noChangeAspect="1"/>
                    </pic:cNvPicPr>
                  </pic:nvPicPr>
                  <pic:blipFill>
                    <a:blip r:embed="rId27"/>
                    <a:stretch>
                      <a:fillRect/>
                    </a:stretch>
                  </pic:blipFill>
                  <pic:spPr bwMode="auto">
                    <a:xfrm>
                      <a:off x="0" y="0"/>
                      <a:ext cx="5334000" cy="2896913"/>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(a) The pre-industrial simulation. (b) The ORAS5 ocean reanalysis, JJA climatology over 1990-2009. The large-scale pattern agrees: both are shallow over most of the open Southern Ocean, both deepen towards the Antarctic margin, and both show the deepest water of the sector in the Atlantic sector. The difference is where it matters for this study. The model places a large patch deeper than 400 m in the interior of the Weddell gyre, covering 1.9 per cent of the area south of 60°S against 0.0 per cent in the reanalysis, and its Weddell sector mean is 128 m against 71 m. Area-weighted over the whole sector the model gives 100 m against 78 m, so the bias is concentrated in the convecting patch rather than spread evenly. We note that the two use different mixed layer definitions, a 0.01 kg m</w:t>
      </w:r>
      <w:r>
        <w:rPr>
          <w:vertAlign w:val="superscript"/>
          <w:iCs/>
          <w:i/>
        </w:rPr>
        <w:t xml:space="preserve">-3</w:t>
      </w:r>
      <w:r>
        <w:rPr>
          <w:iCs/>
          <w:i/>
        </w:rPr>
        <w:t xml:space="preserve"> </w:t>
      </w:r>
      <w:r>
        <w:rPr>
          <w:iCs/>
          <w:i/>
        </w:rPr>
        <w:t xml:space="preserve">density threshold in ORAS5 and a bulk Richardson number criterion in the model, so the point-by-point difference is not purely model error.</w:t>
      </w:r>
    </w:p>
    <w:p>
      <w:pPr>
        <w:pStyle w:val="BodyText"/>
      </w:pPr>
      <w:r>
        <w:rPr>
          <w:color w:val="0000CC"/>
          <w:bCs/>
          <w:b/>
        </w:rPr>
        <w:t xml:space="preserve">In addition, the published evaluation reports that Antarctic sea ice in this configuration is too thin especially in the central Weddell Sea in September, and that the Southern Ocean carries a pronounced warm bias of 1.43 K. The abyssal overturning cell is reported at about 10 Sv, comparable to our pre-industrial value.</w:t>
      </w:r>
    </w:p>
    <w:p>
      <w:pPr>
        <w:pStyle w:val="BodyText"/>
      </w:pPr>
      <w:r>
        <w:rPr>
          <w:color w:val="0000CC"/>
          <w:bCs/>
          <w:b/>
        </w:rPr>
        <w:t xml:space="preserve">That cell is produced by the wrong pathway, as described above, so we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Taken together these are systematic biases. That matters for how the results should be read. Because the same bias is present in all five experiments, it largely cancels in the differences between them, which is what the paper actually reports. We make no claim about the absolute transformation rate or the absolute density at which it occurs; we claim that the balance between the thermal and haline pathways shifts between climate states, and a bias common to every state cannot generate that shift.</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w:t>
      </w:r>
    </w:p>
    <w:bookmarkEnd w:id="30"/>
    <w:bookmarkStart w:id="34" w:name="X6c83ac5c91116ba0d40b556dadef3c13df8006f"/>
    <w:p>
      <w:pPr>
        <w:pStyle w:val="Heading3"/>
      </w:pPr>
      <w:r>
        <w:t xml:space="preserve">Latitude and longitude labels, and subpanel references</w:t>
      </w:r>
    </w:p>
    <w:p>
      <w:pPr>
        <w:pStyle w:val="FirstParagraph"/>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814324"/>
            <wp:effectExtent b="0" l="0" r="0" t="0"/>
            <wp:docPr descr="" title="" id="32" name="Picture"/>
            <a:graphic>
              <a:graphicData uri="http://schemas.openxmlformats.org/drawingml/2006/picture">
                <pic:pic>
                  <pic:nvPicPr>
                    <pic:cNvPr descr="/work/ba1066/a270064/cc_projects/aabw_5exps/nc_paper/SUBMISSION/letter_figs/fig_age_labels-1.png" id="33" name="Picture"/>
                    <pic:cNvPicPr>
                      <a:picLocks noChangeArrowheads="1" noChangeAspect="1"/>
                    </pic:cNvPicPr>
                  </pic:nvPicPr>
                  <pic:blipFill>
                    <a:blip r:embed="rId31"/>
                    <a:stretch>
                      <a:fillRect/>
                    </a:stretch>
                  </pic:blipFill>
                  <pic:spPr bwMode="auto">
                    <a:xfrm>
                      <a:off x="0" y="0"/>
                      <a:ext cx="5334000" cy="3814324"/>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Meridians are labelled just outside the map boundary and latitude circles along the 150°E meridian, at 60°S, 70°S and 80°S. Labels are placed only where there is white space, so that those of neighbouring panels do not run into one another and nothing is written over the data. The mixed layer, wind stress and composite figures have been treated the same way; please refer to the revised manuscript and supplement for the complete set.</w:t>
      </w:r>
    </w:p>
    <w:bookmarkEnd w:id="34"/>
    <w:bookmarkEnd w:id="35"/>
    <w:bookmarkStart w:id="48"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supplementary,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PI to 1.7×10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LGM and 1.6×10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7" name="Picture"/>
            <a:graphic>
              <a:graphicData uri="http://schemas.openxmlformats.org/drawingml/2006/picture">
                <pic:pic>
                  <pic:nvPicPr>
                    <pic:cNvPr descr="/work/ba1066/a270064/cc_projects/aabw_5exps/nc_paper/SUBMISSION/letter_figs/figR7_mld_glacial_zoom.png" id="38" name="Picture"/>
                    <pic:cNvPicPr>
                      <a:picLocks noChangeArrowheads="1" noChangeAspect="1"/>
                    </pic:cNvPicPr>
                  </pic:nvPicPr>
                  <pic:blipFill>
                    <a:blip r:embed="rId36"/>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40" name="Picture"/>
            <a:graphic>
              <a:graphicData uri="http://schemas.openxmlformats.org/drawingml/2006/picture">
                <pic:pic>
                  <pic:nvPicPr>
                    <pic:cNvPr descr="/work/ba1066/a270064/cc_projects/aabw_5exps/nc_paper/SUBMISSION/letter_figs/figR9_ross_sector.png" id="41" name="Picture"/>
                    <pic:cNvPicPr>
                      <a:picLocks noChangeArrowheads="1" noChangeAspect="1"/>
                    </pic:cNvPicPr>
                  </pic:nvPicPr>
                  <pic:blipFill>
                    <a:blip r:embed="rId39"/>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3" name="Picture"/>
            <a:graphic>
              <a:graphicData uri="http://schemas.openxmlformats.org/drawingml/2006/picture">
                <pic:pic>
                  <pic:nvPicPr>
                    <pic:cNvPr descr="/work/ba1066/a270064/cc_projects/aabw_5exps/nc_paper/SUBMISSION/letter_figs/figS_common_axis-1.png" id="44" name="Picture"/>
                    <pic:cNvPicPr>
                      <a:picLocks noChangeArrowheads="1" noChangeAspect="1"/>
                    </pic:cNvPicPr>
                  </pic:nvPicPr>
                  <pic:blipFill>
                    <a:blip r:embed="rId42"/>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5447594"/>
            <wp:effectExtent b="0" l="0" r="0" t="0"/>
            <wp:docPr descr="" title="" id="46" name="Picture"/>
            <a:graphic>
              <a:graphicData uri="http://schemas.openxmlformats.org/drawingml/2006/picture">
                <pic:pic>
                  <pic:nvPicPr>
                    <pic:cNvPr descr="/work/ba1066/a270064/cc_projects/aabw_5exps/nc_paper/SUBMISSION/letter_figs/fig03_labels-1.png" id="47" name="Picture"/>
                    <pic:cNvPicPr>
                      <a:picLocks noChangeArrowheads="1" noChangeAspect="1"/>
                    </pic:cNvPicPr>
                  </pic:nvPicPr>
                  <pic:blipFill>
                    <a:blip r:embed="rId45"/>
                    <a:stretch>
                      <a:fillRect/>
                    </a:stretch>
                  </pic:blipFill>
                  <pic:spPr bwMode="auto">
                    <a:xfrm>
                      <a:off x="0" y="0"/>
                      <a:ext cx="5334000" cy="5447594"/>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and with latitude and longitude now labelled. Every panel carries the latitude circles, at 50°S, 60°S, 70°S and 80°S along 150°E, and the 180° meridian. The remaining meridians are given on the outer columns only, 60°W and 120°W on the left and 60°E and 120°E on the right, so that no label falls between two panels; all panels share the same projection and extent. All labels sit outside the frame. The freshwater counterpart, Fig. 4, has been treated the same way.</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color w:val="0000CC"/>
          <w:vertAlign w:val="subscript"/>
          <w:iCs/>
          <w:i/>
          <w:bCs/>
          <w:b/>
        </w:rPr>
        <w:t xml:space="preserve">p</w:t>
      </w:r>
      <w:r>
        <w:rPr>
          <w:color w:val="0000CC"/>
          <w:iCs/>
          <w:i/>
          <w:bCs/>
          <w:b/>
        </w:rPr>
        <w:t xml:space="preserve">)Q</w:t>
      </w:r>
      <w:r>
        <w:rPr>
          <w:color w:val="0000CC"/>
          <w:vertAlign w:val="subscript"/>
          <w:iCs/>
          <w:i/>
          <w:bCs/>
          <w:b/>
        </w:rPr>
        <w:t xml:space="preserve">n</w:t>
      </w:r>
      <w:r>
        <w:rPr>
          <w:color w:val="0000CC"/>
          <w:iCs/>
          <w:i/>
          <w:bCs/>
          <w:b/>
        </w:rPr>
        <w:t xml:space="preserve">et term, and to the sea-ice-driven density tendency, meaning the part of the haline term S F</w:t>
      </w:r>
      <w:r>
        <w:rPr>
          <w:color w:val="0000CC"/>
          <w:vertAlign w:val="subscript"/>
          <w:iCs/>
          <w:i/>
          <w:bCs/>
          <w:b/>
        </w:rPr>
        <w:t xml:space="preserve">f</w:t>
      </w:r>
      <w:r>
        <w:rPr>
          <w:color w:val="0000CC"/>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color w:val="0000CC"/>
          <w:vertAlign w:val="superscript"/>
          <w:iCs/>
          <w:i/>
          <w:bCs/>
          <w:b/>
        </w:rPr>
        <w:t xml:space="preserve">-3</w:t>
      </w:r>
      <w:r>
        <w:rPr>
          <w:color w:val="0000CC"/>
          <w:iCs/>
          <w:i/>
          <w:bCs/>
          <w:b/>
        </w:rPr>
        <w:t xml:space="preserve"> </w:t>
      </w:r>
      <w:r>
        <w:rPr>
          <w:color w:val="0000CC"/>
          <w:iCs/>
          <w:i/>
          <w:bCs/>
          <w:b/>
        </w:rPr>
        <w:t xml:space="preserve">s</w:t>
      </w:r>
      <w:r>
        <w:rPr>
          <w:color w:val="0000CC"/>
          <w:vertAlign w:val="superscript"/>
          <w:iCs/>
          <w:i/>
          <w:bCs/>
          <w:b/>
        </w:rPr>
        <w:t xml:space="preserve">-1</w:t>
      </w:r>
      <w:r>
        <w:rPr>
          <w:color w:val="0000CC"/>
          <w:iCs/>
          <w:i/>
          <w:bCs/>
          <w:b/>
        </w:rPr>
        <w:t xml:space="preserve"> </w:t>
      </w:r>
      <w:r>
        <w:rPr>
          <w:color w:val="0000CC"/>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model evaluation above.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color w:val="0000CC"/>
          <w:vertAlign w:val="subscript"/>
          <w:bCs/>
          <w:b/>
        </w:rPr>
        <w:t xml:space="preserve">2</w:t>
      </w:r>
      <w:r>
        <w:rPr>
          <w:color w:val="0000CC"/>
          <w:bCs/>
          <w:b/>
        </w:rPr>
        <w:t xml:space="preserve"> </w:t>
      </w:r>
      <w:r>
        <w:rPr>
          <w:color w:val="0000CC"/>
          <w:bCs/>
          <w:b/>
        </w:rPr>
        <w:t xml:space="preserve">= 37.0–37.5 kg m</w:t>
      </w:r>
      <w:r>
        <w:rPr>
          <w:color w:val="0000CC"/>
          <w:vertAlign w:val="superscript"/>
          <w:bCs/>
          <w:b/>
        </w:rPr>
        <w:t xml:space="preserve">-3</w:t>
      </w:r>
      <w:r>
        <w:rPr>
          <w:color w:val="0000CC"/>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 σ</w:t>
      </w:r>
      <w:r>
        <w:rPr>
          <w:color w:val="0000CC"/>
          <w:vertAlign w:val="subscript"/>
          <w:iCs/>
          <w:i/>
          <w:bCs/>
          <w:b/>
        </w:rPr>
        <w:t xml:space="preserve">2</w:t>
      </w:r>
      <w:r>
        <w:rPr>
          <w:color w:val="0000CC"/>
          <w:iCs/>
          <w:i/>
          <w:bCs/>
          <w:b/>
        </w:rPr>
        <w:t xml:space="preserve"> </w:t>
      </w:r>
      <w:r>
        <w:rPr>
          <w:color w:val="0000CC"/>
          <w:iCs/>
          <w:i/>
          <w:bCs/>
          <w:b/>
        </w:rPr>
        <w:t xml:space="preserve">= 37.0-37.5 kg m</w:t>
      </w:r>
      <w:r>
        <w:rPr>
          <w:color w:val="0000CC"/>
          <w:vertAlign w:val="superscript"/>
          <w:iCs/>
          <w:i/>
          <w:bCs/>
          <w:b/>
        </w:rPr>
        <w:t xml:space="preserve">-3</w:t>
      </w:r>
      <w:r>
        <w:rPr>
          <w:color w:val="0000CC"/>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please see our response to the second general comment.</w:t>
      </w:r>
    </w:p>
    <w:bookmarkEnd w:id="48"/>
    <w:bookmarkEnd w:id="49"/>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2026-10-15T04:56:34Z</dcterms:created>
  <dcterms:modified xsi:type="dcterms:W3CDTF">2026-10-15T04:56:34Z</dcterms:modified>
</cp:coreProperties>
</file>

<file path=docProps/custom.xml><?xml version="1.0" encoding="utf-8"?>
<Properties xmlns="http://schemas.openxmlformats.org/officeDocument/2006/custom-properties" xmlns:vt="http://schemas.openxmlformats.org/officeDocument/2006/docPropsVTypes"/>
</file>