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1.png" ContentType="image/png"/>
  <Override PartName="/word/media/rId24.png" ContentType="image/png"/>
  <Override PartName="/word/media/rId31.png" ContentType="image/png"/>
  <Override PartName="/word/media/rId34.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their detailed and constructive comments, which helped a lot improve the manuscript. A problem is pointed out, namely the disagreement between our pre-industrial result and observation-based transformation estimates for the modern Southern Ocean. We took that criticism seriously and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 σ2 36.75 to 37.00 where heat contributes 70% of the transformation. Denser class is haline dominated, with the sea ice term supplying 93% of the transformation above σ2 37.00, and the lighter classes are dominated by the freshwater terms. The thermal signature is therefore confined to a narrow band at intermediate and mode water densities, and it sits lighter than the bottom water cell that Pellichero et al. describe.</w:t>
      </w:r>
    </w:p>
    <w:p>
      <w:pPr>
        <w:pStyle w:val="BodyText"/>
      </w:pPr>
      <w:r>
        <w:rPr>
          <w:color w:val="0000CC"/>
          <w:bCs/>
          <w:b/>
        </w:rPr>
        <w:t xml:space="preserve">For glacial states,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What the paper claims, however, is the relative change between climate states rather than the absolute values. On that basis we consider the regime shift robust, and we have bounded the rest of our claims accordingly.</w:t>
      </w:r>
    </w:p>
    <w:p>
      <w:pPr>
        <w:pStyle w:val="BodyText"/>
      </w:pPr>
      <w:r>
        <w:rPr>
          <w:color w:val="0000CC"/>
          <w:bCs/>
          <w:b/>
        </w:rPr>
        <w:t xml:space="preserve">directly, ideal age throughout the global ocean, and a fuller treatment of the Southern Annular Mode; discussed the study by Chen et al. (2025) that Reviewer 2 noted;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p>
      <w:pPr>
        <w:pStyle w:val="BodyText"/>
      </w:pPr>
      <w:r>
        <w:rPr>
          <w:color w:val="0000CC"/>
          <w:iCs/>
          <w:i/>
          <w:bCs/>
          <w:b/>
        </w:rPr>
        <w:t xml:space="preserve">Draft covering Reviewer 1 only. The replies to Reviewers 2 and 3 are unchanged from the previous version and are not reproduced here, pending Jiping's review.</w:t>
      </w:r>
    </w:p>
    <w:bookmarkEnd w:id="20"/>
    <w:bookmarkStart w:id="44" w:name="response-to-comments-by-reviewer-1"/>
    <w:p>
      <w:pPr>
        <w:pStyle w:val="Heading1"/>
      </w:pPr>
      <w:r>
        <w:t xml:space="preserve">Response to comments by 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the constructive general comments and a thorough list of specific comments.</w:t>
      </w:r>
    </w:p>
    <w:bookmarkStart w:id="30" w:name="general-comments"/>
    <w:p>
      <w:pPr>
        <w:pStyle w:val="Heading2"/>
      </w:pPr>
      <w:r>
        <w:t xml:space="preserve">General comments</w:t>
      </w:r>
    </w:p>
    <w:p>
      <w:pPr>
        <w:pStyle w:val="FirstParagraph"/>
      </w:pPr>
      <w:r>
        <w:t xml:space="preserve">*Model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Authors' response:</w:t>
      </w:r>
    </w:p>
    <w:p>
      <w:pPr>
        <w:pStyle w:val="BodyText"/>
      </w:pPr>
      <w:r>
        <w:rPr>
          <w:color w:val="0000CC"/>
          <w:bCs/>
          <w:b/>
        </w:rPr>
        <w:t xml:space="preserve">We agree with the reviewer. This concern also overlaps with those from Reviewers 2 and 3. Our response has three parts.</w:t>
      </w:r>
    </w:p>
    <w:p>
      <w:pPr>
        <w:pStyle w:val="BodyText"/>
      </w:pPr>
      <w:r>
        <w:rPr>
          <w:color w:val="0000CC"/>
          <w:bCs/>
          <w:b/>
        </w:rPr>
        <w:t xml:space="preserve">The reviewer is right that Figure A4 showed only model curves. We now place our pre-industrial transformation beside the observation-based estimate of Pellichero et al. (2018), computed over the same domain and the same season as theirs.</w:t>
      </w:r>
    </w:p>
    <w:p>
      <w:pPr>
        <w:pStyle w:val="BodyText"/>
      </w:pPr>
      <w:r>
        <w:rPr>
          <w:color w:val="0000CC"/>
          <w:bCs/>
          <w:b/>
        </w:rPr>
        <w:t xml:space="preserve">Pellichero et al. (2018) derived an observation-based estimate of the overturning sustained by surface buoyancy fluxes in the Southern Ocean sea ice sector. We compare against them because their sector, the region enclosed by the September 15% sea ice concentration, is the part of our domain where the comparison is meaningful, and because theirs is the estimate most often set against model results of this kind. To match them we recomputed our transformation over that sector, and took the annual mean rather than the austral winter mean used elsewhere in the paper.</w:t>
      </w:r>
    </w:p>
    <w:p>
      <w:pPr>
        <w:pStyle w:val="BodyText"/>
      </w:pPr>
      <w:r>
        <w:drawing>
          <wp:inline>
            <wp:extent cx="5334000" cy="1927122"/>
            <wp:effectExtent b="0" l="0" r="0" t="0"/>
            <wp:docPr descr="" title="" id="22" name="Picture"/>
            <a:graphic>
              <a:graphicData uri="http://schemas.openxmlformats.org/drawingml/2006/picture">
                <pic:pic>
                  <pic:nvPicPr>
                    <pic:cNvPr descr="/work/ba1066/a270064/cc_projects/aabw_5exps/nc_paper/SUBMISSION/letter_figs/figR16_pi_vs_pellichero.png" id="23" name="Picture"/>
                    <pic:cNvPicPr>
                      <a:picLocks noChangeArrowheads="1" noChangeAspect="1"/>
                    </pic:cNvPicPr>
                  </pic:nvPicPr>
                  <pic:blipFill>
                    <a:blip r:embed="rId21"/>
                    <a:stretch>
                      <a:fillRect/>
                    </a:stretch>
                  </pic:blipFill>
                  <pic:spPr bwMode="auto">
                    <a:xfrm>
                      <a:off x="0" y="0"/>
                      <a:ext cx="5334000" cy="1927122"/>
                    </a:xfrm>
                    <a:prstGeom prst="rect">
                      <a:avLst/>
                    </a:prstGeom>
                    <a:noFill/>
                    <a:ln w="9525">
                      <a:noFill/>
                      <a:headEnd/>
                      <a:tailEnd/>
                    </a:ln>
                  </pic:spPr>
                </pic:pic>
              </a:graphicData>
            </a:graphic>
          </wp:inline>
        </w:drawing>
      </w:r>
    </w:p>
    <w:p>
      <w:pPr>
        <w:pStyle w:val="BodyText"/>
      </w:pPr>
      <w:r>
        <w:rPr>
          <w:bCs/>
          <w:b/>
          <w:iCs/>
          <w:i/>
        </w:rPr>
        <w:t xml:space="preserve">Figure R1.1 (new analysis).</w:t>
      </w:r>
      <w:r>
        <w:rPr>
          <w:iCs/>
          <w:i/>
        </w:rPr>
        <w:t xml:space="preserve"> </w:t>
      </w:r>
      <w:r>
        <w:rPr>
          <w:iCs/>
          <w:i/>
        </w:rPr>
        <w:t xml:space="preserve">(a) Simulated pre-industrial transformation in the seasonal sea ice zone, annual mean, decomposed into the heat and freshwater contributions. (b) The observational estimate of Pellichero et al. (2018), their Fig. 3a, reproduced for comparison. The density axes differ deliberately: ours is potential density σ</w:t>
      </w:r>
      <w:r>
        <w:rPr>
          <w:vertAlign w:val="subscript"/>
          <w:iCs/>
          <w:i/>
        </w:rPr>
        <w:t xml:space="preserve">2</w:t>
      </w:r>
      <w:r>
        <w:rPr>
          <w:iCs/>
          <w:i/>
        </w:rPr>
        <w:t xml:space="preserve">, theirs neutral density γ. Our simulated surface water is lighter than observed, so plotting both on one axis would imply a point-by-point correspondence that does not exist.</w:t>
      </w:r>
    </w:p>
    <w:p>
      <w:pPr>
        <w:pStyle w:val="BodyText"/>
      </w:pPr>
      <w:r>
        <w:rPr>
          <w:color w:val="0000CC"/>
          <w:bCs/>
          <w:b/>
        </w:rPr>
        <w:t xml:space="preserve">The two curves share their structure. Both show buoyancy gain at the lighter classes, a zero crossing, and densification at the heavier classes, with the freshwater term carrying the light end and both curves converging towards zero at the dense end. In our pre-industrial state the transformation reaches a minimum of -9.2 Sv, crosses zero, and peaks at +6.6 Sv; Pellichero et al. report a minimum near -22 Sv and a densification peak of 5±5 Sv. The sign structure and the order of magnitude of the densification branch therefore agree, though our light-end buoyancy gain is weaker than theirs, and our whole curve sits at lighter densities because the simulated Southern Ocean surface is fresher than observed.</w:t>
      </w:r>
    </w:p>
    <w:p>
      <w:pPr>
        <w:pStyle w:val="BodyText"/>
      </w:pPr>
      <w:r>
        <w:rPr>
          <w:color w:val="0000CC"/>
          <w:bCs/>
          <w:b/>
        </w:rPr>
        <w:t xml:space="preserve">Two differences should be noted. Our light-end buoyancy gain is weaker than theirs, and our whole curve sits at lighter densities, because the simulated Southern Ocean surface is fresher than observed. Both follow from the same bias, which we quantify under model limitations below.</w:t>
      </w:r>
    </w:p>
    <w:p>
      <w:pPr>
        <w:pStyle w:val="BodyText"/>
      </w:pPr>
      <w:r>
        <w:rPr>
          <w:color w:val="0000CC"/>
          <w:bCs/>
          <w:b/>
        </w:rPr>
        <w:t xml:space="preserve">The reviewer, and Reviewer 3, also asked whether we could compute an observational transformation ourselves from a reanalysis rather than citing a published one. We examined this and it is not feasible, for three reasons.</w:t>
      </w:r>
    </w:p>
    <w:p>
      <w:pPr>
        <w:pStyle w:val="BodyText"/>
      </w:pPr>
      <w:r>
        <w:rPr>
          <w:color w:val="0000CC"/>
          <w:bCs/>
          <w:b/>
        </w:rPr>
        <w:t xml:space="preserve">First, such data do not exist. A transformation budget needs the net surface heat flux, the net surface freshwater flux, and the sea ice thermodynamic salt flux. We checked the Copernicus ocean reanalyses, namely GLORYS12, the GREP ensemble and the analysis-forecast product, which carry temperature, salinity, velocity and sea ice state but no surface flux fields at all. ORAS5 does carry a net downward heat flux and a net upward water flux, but we tested its water flux inside the September ice zone and found no freezing signal: at peak freezing it is -1.2e-5 kg m-2 s-1 against -1.6e-5 at peak melt, so the field is evaporation minus precipitation minus runoff and excludes the sea ice term. The sea ice contribution is precisely the term that decides the question at issue, and no reanalysis we could find supplies it.</w:t>
      </w:r>
    </w:p>
    <w:p>
      <w:pPr>
        <w:pStyle w:val="BodyText"/>
      </w:pPr>
      <w:r>
        <w:rPr>
          <w:color w:val="0000CC"/>
          <w:iCs/>
          <w:i/>
          <w:bCs/>
          <w:b/>
        </w:rPr>
        <w:t xml:space="preserve">Second, Pellichero et al. themselves reject that approach for this region. They write that ocean buoyancy fluxes are commonly obtained from atmospheric reanalysis datasets, but that "in the Southern Ocean such reanalysis products are poorly constrained, and essentially unusable in the seasonally sea-ice covered region." Rather than use one, they solve the mixed layer heat and salt budgets for the surface fluxes as the unknown, using the observed seasonal cycle of mixed layer temperature, salinity and depth together with Ekman and geostrophic advection and entrainment. The hydrography comes from Argo floats, ship-based observations and instrumented marine mammals, the only platform that samples under winter sea ice; the ice edge comes from SMMR and SSM/I passive microwave data for 2000-2015, and the geostrophic term from AVISO mean dynamic topography for 1993-2012. We cannot reproduce that calculation, because it rests on a seal-tag mixed layer database those authors assembled and we do not have. Computing a reanalysis transformation anyway would mean doing the very thing their paper argues cannot be done in this region.</w:t>
      </w:r>
    </w:p>
    <w:p>
      <w:pPr>
        <w:pStyle w:val="BodyText"/>
      </w:pPr>
      <w:r>
        <w:rPr>
          <w:color w:val="0000CC"/>
          <w:bCs/>
          <w:b/>
        </w:rPr>
        <w:t xml:space="preserve">Third, the two quantities are not identical even in principle. What they solve for is the surface flux together with the diapycnal mixing term, because the mixed layer budget cannot separate the two. Our model diagnoses the surface flux alone. Some discrepancy is therefore expected on definitional grounds, before any model bias is considered, and the agreement in shape shown in Figure R1.1 should be read in that light.</w:t>
      </w:r>
    </w:p>
    <w:p>
      <w:pPr>
        <w:pStyle w:val="BodyText"/>
      </w:pPr>
      <w:r>
        <w:rPr>
          <w:color w:val="0000CC"/>
          <w:bCs/>
          <w:b/>
        </w:rPr>
        <w:t xml:space="preserve">We have therefore compared against their published result rather than recomputing one.</w:t>
      </w:r>
    </w:p>
    <w:p>
      <w:pPr>
        <w:pStyle w:val="BodyText"/>
      </w:pPr>
      <w:r>
        <w:rPr>
          <w:color w:val="0000CC"/>
          <w:bCs/>
          <w:b/>
        </w:rPr>
        <w:t xml:space="preserve">Another point from the reviewer is about the discussion of known model strengths and biases in Southern Ocean stratification, sea ice, mixed-layer depth, and Antarctic Bottom Water formation. Since the second last comment of the reviewer specifically deals with "Model limitations", we refer to our response to that comment.</w:t>
      </w:r>
    </w:p>
    <w:p>
      <w:pPr>
        <w:pStyle w:val="BodyText"/>
      </w:pPr>
      <w:r>
        <w:t xml:space="preserve">*Boundary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Following the reviewer's suggestion, we have provided a summary table (Table R1, manuscript Table 1), which lists the greenhouse gas concentrations, orbital parameters and ice sheet configuration for all five experiments.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 Boundary conditions prescribed in the five equilibrium simulations. Orbital parameters for PI are those of 1850 CE. Greenhouse gas concentrations are volume mixing ratios.</w:t>
      </w:r>
    </w:p>
    <w:p>
      <w:pPr>
        <w:pStyle w:val="BodyText"/>
      </w:pPr>
      <w:r>
        <w:rPr>
          <w:color w:val="0000CC"/>
          <w:bCs/>
          <w:b/>
        </w:rPr>
        <w:t xml:space="preserve">We also expanded the text describing the boundary conditions used in the experimental design, especially the implementation of the GLAC-1D ice-sheet reconstruction.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at once, and it is clearest to list them by the component that uses them. Specifically, the atmosphere component receives the ice sheet extent and surface elevation as orography, together with the land-sea mask implied by the lowered sea level. The land surface receives the same topography, from which river routing and vegetation distribution are derived. The ocean component receives bathymetry and a modified coastline. Because the ocean component uses an unstructured mesh, a changed coastline cannot be imposed on the existing grid and a dedicated mesh must be generated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does not include ice shelf cavities, so basal melt beneath floating ice shelves is not represented.”</w:t>
      </w:r>
    </w:p>
    <w:p>
      <w:pPr>
        <w:pStyle w:val="BodyText"/>
      </w:pPr>
      <w:r>
        <w:t xml:space="preserve">*Clarifying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Authors' response:</w:t>
      </w:r>
    </w:p>
    <w:p>
      <w:pPr>
        <w:pStyle w:val="BodyText"/>
      </w:pPr>
      <w:r>
        <w:rPr>
          <w:color w:val="0000CC"/>
          <w:bCs/>
          <w:b/>
        </w:rPr>
        <w:t xml:space="preserve">This comment asks specifically about bias, where the general comment above asked about evaluation, so we treat the two separately. We take the three quantities the reviewer names in turn, and in each case compare the pre-industrial simulation against observations rather than against the other climate states.</w:t>
      </w:r>
    </w:p>
    <w:p>
      <w:pPr>
        <w:pStyle w:val="BodyText"/>
      </w:pPr>
      <w:r>
        <w:rPr>
          <w:color w:val="0000CC"/>
          <w:bCs/>
          <w:b/>
        </w:rPr>
        <w:t xml:space="preserve">Before doing so, one limitation underlies all three and is best stated once. We diagnosed where the model actually forms its dense water. In the pre-industrial simulation the Weddell sector accounts for 70 per cent of the area with a winter mixed layer deeper than 400 m south of 55°S and 97 per cent of the area deeper than 600 m, centred near 68°S in the interior of the gyre rather than over the shelf. This is open-ocean convection, not the shelf overflow pathway that operates in the real ocean. It is a limitation shared across the current model generation rather than particular to AWI-ESM2: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Thanks for the comment. We now state the model limitation explicitly. We diagnosed where the model actually forms its dense water. In the pre-industrial simulation, the Weddell sector accounts for 70% of the area with a winter mixed layer deeper than 400 m south of 55°S, centred near 68°S in the interior of the gyre (see Figure R1.2). We note that this is a limitation shared across the current model generation.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The broad pattern is reproduced. Both the model and the reanalysis keep shallow mixed layers over most of the open Southern Ocean, deepen towards the Antarctic margin, and place the deepest water of the sector in the Atlantic sector. Where they part company is the Weddell gyre interior: the model opens a patch deeper than 400 m that the reanalysis does not have at all, and its Weddell sector mean is 128 m against 71 m. This is the open-ocean convection described above, and the comparison localises it rather than leaving it as an assertion.</w:t>
      </w:r>
    </w:p>
    <w:p>
      <w:pPr>
        <w:pStyle w:val="BodyText"/>
      </w:pPr>
      <w:r>
        <w:drawing>
          <wp:inline>
            <wp:extent cx="5334000" cy="2896913"/>
            <wp:effectExtent b="0" l="0" r="0" t="0"/>
            <wp:docPr descr="" title="" id="25" name="Picture"/>
            <a:graphic>
              <a:graphicData uri="http://schemas.openxmlformats.org/drawingml/2006/picture">
                <pic:pic>
                  <pic:nvPicPr>
                    <pic:cNvPr descr="/work/ba1066/a270064/cc_projects/aabw_5exps/nc_paper/SUBMISSION/letter_figs/figR17_mld_pi_vs_obs.png" id="26" name="Picture"/>
                    <pic:cNvPicPr>
                      <a:picLocks noChangeArrowheads="1" noChangeAspect="1"/>
                    </pic:cNvPicPr>
                  </pic:nvPicPr>
                  <pic:blipFill>
                    <a:blip r:embed="rId24"/>
                    <a:stretch>
                      <a:fillRect/>
                    </a:stretch>
                  </pic:blipFill>
                  <pic:spPr bwMode="auto">
                    <a:xfrm>
                      <a:off x="0" y="0"/>
                      <a:ext cx="5334000" cy="2896913"/>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(a) The pre-industrial simulation. (b) The ORAS5 ocean reanalysis, JJA climatology over 1990-2009. The large-scale pattern agrees: both are shallow over most of the open Southern Ocean, both deepen towards the Antarctic margin, and both show the deepest water of the sector in the Atlantic sector. The difference is where it matters for this study. The model places a large patch deeper than 400 m in the interior of the Weddell gyre, covering 1.9 per cent of the area south of 60°S against 0.0 per cent in the reanalysis, and its Weddell sector mean is 128 m against 71 m. Area-weighted over the whole sector the model gives 100 m against 78 m, so the bias is concentrated in the convecting patch rather than spread evenly. We note that the two use different mixed layer definitions, a 0.01 kg m</w:t>
      </w:r>
      <w:r>
        <w:rPr>
          <w:vertAlign w:val="superscript"/>
          <w:iCs/>
          <w:i/>
        </w:rPr>
        <w:t xml:space="preserve">-3</w:t>
      </w:r>
      <w:r>
        <w:rPr>
          <w:iCs/>
          <w:i/>
        </w:rPr>
        <w:t xml:space="preserve"> </w:t>
      </w:r>
      <w:r>
        <w:rPr>
          <w:iCs/>
          <w:i/>
        </w:rPr>
        <w:t xml:space="preserve">density threshold in ORAS5 and a bulk Richardson number criterion in the model, so the point-by-point difference is not purely model error.</w:t>
      </w:r>
    </w:p>
    <w:p>
      <w:pPr>
        <w:pStyle w:val="BodyText"/>
      </w:pPr>
      <w:r>
        <w:rPr>
          <w:color w:val="0000CC"/>
          <w:bCs/>
          <w:b/>
        </w:rPr>
        <w:t xml:space="preserve">In addition, the published evaluation reports that Antarctic sea ice in this configuration is too thin especially in the central Weddell Sea in September, and that the Southern Ocean carries a pronounced warm bias of 1.43 K. The abyssal overturning cell is reported at about 10 Sv, comparable to our pre-industrial value.</w:t>
      </w:r>
    </w:p>
    <w:p>
      <w:pPr>
        <w:pStyle w:val="BodyText"/>
      </w:pPr>
      <w:r>
        <w:rPr>
          <w:color w:val="0000CC"/>
          <w:bCs/>
          <w:b/>
        </w:rPr>
        <w:t xml:space="preserve">That cell is produced by the wrong pathway, as described above, so we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Taken together these are systematic biases. That matters for how the results should be read. Because the same bias is present in all five experiments, it largely cancels in the differences between them, which is what the paper actually reports. We make no claim about the absolute transformation rate or the absolute density at which it occurs; we claim that the balance between the thermal and haline pathways shifts between climate states, and a bias common to every state cannot generate that shift.</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w:t>
      </w:r>
    </w:p>
    <w:p>
      <w:pPr>
        <w:pStyle w:val="BodyText"/>
      </w:pPr>
      <w:r>
        <w:t xml:space="preserve">*Latitude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814324"/>
            <wp:effectExtent b="0" l="0" r="0" t="0"/>
            <wp:docPr descr="" title="" id="28" name="Picture"/>
            <a:graphic>
              <a:graphicData uri="http://schemas.openxmlformats.org/drawingml/2006/picture">
                <pic:pic>
                  <pic:nvPicPr>
                    <pic:cNvPr descr="/work/ba1066/a270064/cc_projects/aabw_5exps/nc_paper/SUBMISSION/letter_figs/fig_age_labels-1.png" id="29" name="Picture"/>
                    <pic:cNvPicPr>
                      <a:picLocks noChangeArrowheads="1" noChangeAspect="1"/>
                    </pic:cNvPicPr>
                  </pic:nvPicPr>
                  <pic:blipFill>
                    <a:blip r:embed="rId27"/>
                    <a:stretch>
                      <a:fillRect/>
                    </a:stretch>
                  </pic:blipFill>
                  <pic:spPr bwMode="auto">
                    <a:xfrm>
                      <a:off x="0" y="0"/>
                      <a:ext cx="5334000" cy="3814324"/>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Meridians are labelled just outside the map boundary and latitude circles along the 150°E meridian, at 60°S, 70°S and 80°S. Labels are placed only where there is white space, so that those of neighbouring panels do not run into one another and nothing is written over the data. The mixed layer, wind stress and composite figures have been treated the same way; please refer to the revised manuscript and supplement for the complete set.</w:t>
      </w:r>
    </w:p>
    <w:bookmarkEnd w:id="30"/>
    <w:bookmarkStart w:id="43"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supplementary,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PI to 1.7×10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LGM and 1.6×10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2" name="Picture"/>
            <a:graphic>
              <a:graphicData uri="http://schemas.openxmlformats.org/drawingml/2006/picture">
                <pic:pic>
                  <pic:nvPicPr>
                    <pic:cNvPr descr="/work/ba1066/a270064/cc_projects/aabw_5exps/nc_paper/SUBMISSION/letter_figs/figR7_mld_glacial_zoom.png" id="33" name="Picture"/>
                    <pic:cNvPicPr>
                      <a:picLocks noChangeArrowheads="1" noChangeAspect="1"/>
                    </pic:cNvPicPr>
                  </pic:nvPicPr>
                  <pic:blipFill>
                    <a:blip r:embed="rId31"/>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5" name="Picture"/>
            <a:graphic>
              <a:graphicData uri="http://schemas.openxmlformats.org/drawingml/2006/picture">
                <pic:pic>
                  <pic:nvPicPr>
                    <pic:cNvPr descr="/work/ba1066/a270064/cc_projects/aabw_5exps/nc_paper/SUBMISSION/letter_figs/figR9_ross_sector.png" id="36" name="Picture"/>
                    <pic:cNvPicPr>
                      <a:picLocks noChangeArrowheads="1" noChangeAspect="1"/>
                    </pic:cNvPicPr>
                  </pic:nvPicPr>
                  <pic:blipFill>
                    <a:blip r:embed="rId34"/>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8" name="Picture"/>
            <a:graphic>
              <a:graphicData uri="http://schemas.openxmlformats.org/drawingml/2006/picture">
                <pic:pic>
                  <pic:nvPicPr>
                    <pic:cNvPr descr="/work/ba1066/a270064/cc_projects/aabw_5exps/nc_paper/SUBMISSION/letter_figs/figS_common_axis-1.png" id="39" name="Picture"/>
                    <pic:cNvPicPr>
                      <a:picLocks noChangeArrowheads="1" noChangeAspect="1"/>
                    </pic:cNvPicPr>
                  </pic:nvPicPr>
                  <pic:blipFill>
                    <a:blip r:embed="rId37"/>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5447594"/>
            <wp:effectExtent b="0" l="0" r="0" t="0"/>
            <wp:docPr descr="" title="" id="41" name="Picture"/>
            <a:graphic>
              <a:graphicData uri="http://schemas.openxmlformats.org/drawingml/2006/picture">
                <pic:pic>
                  <pic:nvPicPr>
                    <pic:cNvPr descr="/work/ba1066/a270064/cc_projects/aabw_5exps/nc_paper/SUBMISSION/letter_figs/fig03_labels-1.png" id="42" name="Picture"/>
                    <pic:cNvPicPr>
                      <a:picLocks noChangeArrowheads="1" noChangeAspect="1"/>
                    </pic:cNvPicPr>
                  </pic:nvPicPr>
                  <pic:blipFill>
                    <a:blip r:embed="rId40"/>
                    <a:stretch>
                      <a:fillRect/>
                    </a:stretch>
                  </pic:blipFill>
                  <pic:spPr bwMode="auto">
                    <a:xfrm>
                      <a:off x="0" y="0"/>
                      <a:ext cx="5334000" cy="5447594"/>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and with latitude and longitude now labelled. Every panel carries the latitude circles, at 50°S, 60°S, 70°S and 80°S along 150°E, and the 180° meridian. The remaining meridians are given on the outer columns only, 60°W and 120°W on the left and 60°E and 120°E on the right, so that no label falls between two panels; all panels share the same projection and extent. All labels sit outside the frame. The freshwater counterpart, Fig. 4, has been treated the same way.</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color w:val="0000CC"/>
          <w:vertAlign w:val="subscript"/>
          <w:iCs/>
          <w:i/>
          <w:bCs/>
          <w:b/>
        </w:rPr>
        <w:t xml:space="preserve">p</w:t>
      </w:r>
      <w:r>
        <w:rPr>
          <w:color w:val="0000CC"/>
          <w:iCs/>
          <w:i/>
          <w:bCs/>
          <w:b/>
        </w:rPr>
        <w:t xml:space="preserve">)Q</w:t>
      </w:r>
      <w:r>
        <w:rPr>
          <w:color w:val="0000CC"/>
          <w:vertAlign w:val="subscript"/>
          <w:iCs/>
          <w:i/>
          <w:bCs/>
          <w:b/>
        </w:rPr>
        <w:t xml:space="preserve">n</w:t>
      </w:r>
      <w:r>
        <w:rPr>
          <w:color w:val="0000CC"/>
          <w:iCs/>
          <w:i/>
          <w:bCs/>
          <w:b/>
        </w:rPr>
        <w:t xml:space="preserve">et term, and to the sea-ice-driven density tendency, meaning the part of the haline term S F</w:t>
      </w:r>
      <w:r>
        <w:rPr>
          <w:color w:val="0000CC"/>
          <w:vertAlign w:val="subscript"/>
          <w:iCs/>
          <w:i/>
          <w:bCs/>
          <w:b/>
        </w:rPr>
        <w:t xml:space="preserve">f</w:t>
      </w:r>
      <w:r>
        <w:rPr>
          <w:color w:val="0000CC"/>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color w:val="0000CC"/>
          <w:vertAlign w:val="superscript"/>
          <w:iCs/>
          <w:i/>
          <w:bCs/>
          <w:b/>
        </w:rPr>
        <w:t xml:space="preserve">-3</w:t>
      </w:r>
      <w:r>
        <w:rPr>
          <w:color w:val="0000CC"/>
          <w:iCs/>
          <w:i/>
          <w:bCs/>
          <w:b/>
        </w:rPr>
        <w:t xml:space="preserve"> </w:t>
      </w:r>
      <w:r>
        <w:rPr>
          <w:color w:val="0000CC"/>
          <w:iCs/>
          <w:i/>
          <w:bCs/>
          <w:b/>
        </w:rPr>
        <w:t xml:space="preserve">s</w:t>
      </w:r>
      <w:r>
        <w:rPr>
          <w:color w:val="0000CC"/>
          <w:vertAlign w:val="superscript"/>
          <w:iCs/>
          <w:i/>
          <w:bCs/>
          <w:b/>
        </w:rPr>
        <w:t xml:space="preserve">-1</w:t>
      </w:r>
      <w:r>
        <w:rPr>
          <w:color w:val="0000CC"/>
          <w:iCs/>
          <w:i/>
          <w:bCs/>
          <w:b/>
        </w:rPr>
        <w:t xml:space="preserve"> </w:t>
      </w:r>
      <w:r>
        <w:rPr>
          <w:color w:val="0000CC"/>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model evaluation above.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color w:val="0000CC"/>
          <w:vertAlign w:val="subscript"/>
          <w:bCs/>
          <w:b/>
        </w:rPr>
        <w:t xml:space="preserve">2</w:t>
      </w:r>
      <w:r>
        <w:rPr>
          <w:color w:val="0000CC"/>
          <w:bCs/>
          <w:b/>
        </w:rPr>
        <w:t xml:space="preserve"> </w:t>
      </w:r>
      <w:r>
        <w:rPr>
          <w:color w:val="0000CC"/>
          <w:bCs/>
          <w:b/>
        </w:rPr>
        <w:t xml:space="preserve">= 37.0–37.5 kg m</w:t>
      </w:r>
      <w:r>
        <w:rPr>
          <w:color w:val="0000CC"/>
          <w:vertAlign w:val="superscript"/>
          <w:bCs/>
          <w:b/>
        </w:rPr>
        <w:t xml:space="preserve">-3</w:t>
      </w:r>
      <w:r>
        <w:rPr>
          <w:color w:val="0000CC"/>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 σ</w:t>
      </w:r>
      <w:r>
        <w:rPr>
          <w:color w:val="0000CC"/>
          <w:vertAlign w:val="subscript"/>
          <w:iCs/>
          <w:i/>
          <w:bCs/>
          <w:b/>
        </w:rPr>
        <w:t xml:space="preserve">2</w:t>
      </w:r>
      <w:r>
        <w:rPr>
          <w:color w:val="0000CC"/>
          <w:iCs/>
          <w:i/>
          <w:bCs/>
          <w:b/>
        </w:rPr>
        <w:t xml:space="preserve"> </w:t>
      </w:r>
      <w:r>
        <w:rPr>
          <w:color w:val="0000CC"/>
          <w:iCs/>
          <w:i/>
          <w:bCs/>
          <w:b/>
        </w:rPr>
        <w:t xml:space="preserve">= 37.0-37.5 kg m</w:t>
      </w:r>
      <w:r>
        <w:rPr>
          <w:color w:val="0000CC"/>
          <w:vertAlign w:val="superscript"/>
          <w:iCs/>
          <w:i/>
          <w:bCs/>
          <w:b/>
        </w:rPr>
        <w:t xml:space="preserve">-3</w:t>
      </w:r>
      <w:r>
        <w:rPr>
          <w:color w:val="0000CC"/>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see G2.</w:t>
      </w:r>
    </w:p>
    <w:bookmarkEnd w:id="43"/>
    <w:bookmarkEnd w:id="44"/>
    <w:sectPr>
      <w:pgSz w:w="11906" w:h="16838"/>
      <w:pgMar w:top="1540" w:right="2480" w:bottom="3740" w:left="200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2026-10-14T03:52:40Z</dcterms:created>
  <dcterms:modified xsi:type="dcterms:W3CDTF">2026-10-14T03:52:40Z</dcterms:modified>
</cp:coreProperties>
</file>

<file path=docProps/custom.xml><?xml version="1.0" encoding="utf-8"?>
<Properties xmlns="http://schemas.openxmlformats.org/officeDocument/2006/custom-properties" xmlns:vt="http://schemas.openxmlformats.org/officeDocument/2006/docPropsVTypes"/>
</file>