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67.png" ContentType="image/png"/>
  <Override PartName="/word/media/rId59.png" ContentType="image/png"/>
  <Override PartName="/word/media/rId62.png" ContentType="image/png"/>
  <Override PartName="/word/media/rId24.png" ContentType="image/png"/>
  <Override PartName="/word/media/rId27.png" ContentType="image/png"/>
  <Override PartName="/word/media/rId41.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Hu Yang,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42.7% of the area we integrated over lies outside the winter sea ice edge and is therefore water that Pellichero et al. do not analyse. The second, and larger, is the density range: our simulated transformation peaks at densities corresponding to intermediate and mode water, whereas the haline-dominated cell those authors describe lies at bottom water densities that our simulated surface fluxes barely reach. Where the two analyses do overlap in density, they agree in sign. A residual discrepancy remains after both effects are accounted for, and it reflects a real limitation of the model, namely that it forms its pre-industrial dense water by open-ocean convection in the Weddell gyre rather than by dense shelf water overflow. We now state this plainly, quantify it, and bound what we claim on the basis of it.</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correctly noted was missing;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without consulting the manuscript.</w:t>
      </w:r>
    </w:p>
    <w:p>
      <w:pPr>
        <w:pStyle w:val="BodyText"/>
      </w:pPr>
      <w:r>
        <w:rPr>
          <w:color w:val="0000CC"/>
          <w:bCs/>
          <w:b/>
        </w:rPr>
        <w:t xml:space="preserve">Reviewer comments are reproduced in full below in italics, each followed by our response. Line numbers in our responses refer to the revised manuscript unless stated otherwise. All changes are marked in the accompanying tracked-changes file.</w:t>
      </w:r>
    </w:p>
    <w:bookmarkEnd w:id="20"/>
    <w:bookmarkStart w:id="40"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0"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color w:val="0000CC"/>
          <w:bCs/>
          <w:b/>
        </w:rPr>
        <w:t xml:space="preserve">We also diagnosed directly where the model forms its dense water, which bears on how far the pre-industrial state can be trusted.</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color w:val="0000CC"/>
          <w:bCs/>
          <w:b/>
        </w:rPr>
        <w:t xml:space="preserve">Second, and more importantly, we found that the density range matters more than the domain. Converting our simulated surface properties to the neutral density coordinate used in that study, our thermally dominated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0.79 Sv from sea ice against 0.06 Sv from heat. The two analyses are therefore largely describing different water masses, and where they overlap they agree.</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Added. Table 1 in the Methods now lists the greenhouse gas concentrations, orbital parameters, and ice sheet configuration for all five experiments; the values are those actually used in the runs. We have also expanded the surrounding text to describe how GLAC-1D enters the model, which we agree was underspecified. It sets the ice sheet extent and surface elevation and the associated land-sea mask and orography for the atmosphere and land surface, the river routing, and the vegetation distribution, and it determines the ocean bathymetry and coastline. The last of these requires a separate unstructured ocean mesh for each glacial period, and we use meshes built for 21 ka and 38 ka, while PI, MH and LIG share the modern-geometry mesh. We also now state that global mean ocean salinity is raised in the glacial runs to account for water stored in the ice sheets, and that no prescribed ice sheet meltwater flux is applied in any experiment.</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5102086"/>
            <wp:effectExtent b="0" l="0" r="0" t="0"/>
            <wp:docPr descr="" title="" id="28" name="Picture"/>
            <a:graphic>
              <a:graphicData uri="http://schemas.openxmlformats.org/drawingml/2006/picture">
                <pic:pic>
                  <pic:nvPicPr>
                    <pic:cNvPr descr="/work/ba1066/a270064/cc_projects/aabw_5exps/nc_paper/SUBMISSION/letter_figs/figR7_mld_glacial_zoom.png" id="29"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bookmarkEnd w:id="30"/>
    <w:bookmarkStart w:id="39" w:name="specific-comments"/>
    <w:p>
      <w:pPr>
        <w:pStyle w:val="Heading2"/>
      </w:pPr>
      <w:r>
        <w:t xml:space="preserve">Specific comments</w:t>
      </w:r>
    </w:p>
    <w:p>
      <w:pPr>
        <w:pStyle w:val="FirstParagraph"/>
      </w:pPr>
      <w:r>
        <w:rPr>
          <w:color w:val="0000CC"/>
          <w:iCs/>
          <w:i/>
          <w:bCs/>
          <w:b/>
        </w:rPr>
        <w:t xml:space="preserve">1. LIG, LGM and MIS should be capitalised. –- 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rPr>
          <w:color w:val="0000CC"/>
          <w:iCs/>
          <w:i/>
          <w:bCs/>
          <w:b/>
        </w:rPr>
        <w:t xml:space="preserve">2. Line 21-22: The transition to SAM is quite abrupt. –- 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rPr>
          <w:color w:val="0000CC"/>
          <w:iCs/>
          <w:i/>
          <w:bCs/>
          <w:b/>
        </w:rPr>
        <w:t xml:space="preserve">3. Line 24: "same mechanisms" sounds vague ... The abstract should be understandable on its own. –- Replaced with the explicit statement that the mode works "through heat loss when the ocean is open and through brine rejection when it is ice covered".</w:t>
      </w:r>
    </w:p>
    <w:p>
      <w:pPr>
        <w:pStyle w:val="BodyText"/>
      </w:pPr>
      <w:r>
        <w:rPr>
          <w:color w:val="0000CC"/>
          <w:iCs/>
          <w:i/>
          <w:bCs/>
          <w:b/>
        </w:rPr>
        <w:t xml:space="preserve">4. Lines 25-27: ... additional context is needed before introducing the deep ocean ventilation results. –- 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rPr>
          <w:color w:val="0000CC"/>
          <w:iCs/>
          <w:i/>
          <w:bCs/>
          <w:b/>
        </w:rPr>
        <w:t xml:space="preserve">5. Lines 102-105: SAM is introduced only briefly here. Given its importance ... please consider providing a slightly more detailed introduction. –- 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rPr>
          <w:color w:val="0000CC"/>
          <w:iCs/>
          <w:i/>
          <w:bCs/>
          <w:b/>
        </w:rPr>
        <w:t xml:space="preserve">6. Line 125: typo: 'more'. –- Corrected ("moer" "more").</w:t>
      </w:r>
    </w:p>
    <w:p>
      <w:pPr>
        <w:pStyle w:val="BodyText"/>
      </w:pPr>
      <w:r>
        <w:rPr>
          <w:color w:val="0000CC"/>
          <w:iCs/>
          <w:i/>
          <w:bCs/>
          <w:b/>
        </w:rPr>
        <w:t xml:space="preserve">7. Line 127: Figure numbering; A3 can't be called before A1 and A2. –- The appendix figures have been reordered so that they are cited in numerical order.</w:t>
      </w:r>
    </w:p>
    <w:p>
      <w:pPr>
        <w:pStyle w:val="BodyText"/>
      </w:pPr>
      <w:r>
        <w:rPr>
          <w:color w:val="0000CC"/>
          <w:iCs/>
          <w:i/>
          <w:bCs/>
          <w:b/>
        </w:rPr>
        <w:t xml:space="preserve">8. Line 129: 'Here,'. –- Corrected.</w:t>
      </w:r>
    </w:p>
    <w:p>
      <w:pPr>
        <w:pStyle w:val="BodyText"/>
      </w:pPr>
      <w:r>
        <w:rPr>
          <w:color w:val="0000CC"/>
          <w:iCs/>
          <w:i/>
          <w:bCs/>
          <w:b/>
        </w:rPr>
        <w:t xml:space="preserve">9. Line 140: As a result, the deep MLD signals ... Also, "vanish" is perhaps not the most scientific wording. –- 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rPr>
          <w:color w:val="0000CC"/>
          <w:iCs/>
          <w:i/>
          <w:bCs/>
          <w:b/>
        </w:rPr>
        <w:t xml:space="preserve">10. Line 141: These signals are not particularly visible even in the coastal regions (the darker blue shading in LGM is at 200m, so considerably shallower than the interglacials). –- This is a fair objection and we have addressed it with numbers. Summed south of 55°S, the area with a winter mixed layer deeper than 400 m falls from 7.5×10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PI to 1.7×10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LGM and 1.6×10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Panels (g) and (h) of Figure R1.2 above make the point quantitatively: both the area of deep convection and the depth of the deepest mixed layer fall in the glacial states, so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5102086"/>
            <wp:effectExtent b="0" l="0" r="0" t="0"/>
            <wp:docPr descr="" title="" id="31" name="Picture"/>
            <a:graphic>
              <a:graphicData uri="http://schemas.openxmlformats.org/drawingml/2006/picture">
                <pic:pic>
                  <pic:nvPicPr>
                    <pic:cNvPr descr="/work/ba1066/a270064/cc_projects/aabw_5exps/nc_paper/SUBMISSION/letter_figs/figR7_mld_glacial_zoom.png" id="32"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color w:val="0000CC"/>
          <w:iCs/>
          <w:i/>
          <w:bCs/>
          <w:b/>
        </w:rPr>
        <w:t xml:space="preserve">11. Line 134-141: Fig.1 i-l subpanels are not discussed at all. –- 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rPr>
          <w:color w:val="0000CC"/>
          <w:iCs/>
          <w:i/>
          <w:bCs/>
          <w:b/>
        </w:rPr>
        <w:t xml:space="preserve">12. Line 144-146: The LIG also exhibits similar behaviour, although the changes are smaller in some basins. Likewise, the LGM shows some negative anomalies in the Atlantic–Indian sector. –- Both points are now stated in the text; see the response to comment 11.</w:t>
      </w:r>
    </w:p>
    <w:p>
      <w:pPr>
        <w:pStyle w:val="BodyText"/>
      </w:pPr>
      <w:r>
        <w:rPr>
          <w:color w:val="0000CC"/>
          <w:iCs/>
          <w:i/>
          <w:bCs/>
          <w:b/>
        </w:rPr>
        <w:t xml:space="preserve">13. Line 146-148: An explanation of why the wind stress changes do not lead to increased sea ice in the Ross Sea would be useful. Is this due to the presence of relatively warm water despite enhanced salinity, density, and Ekman transport in this region? –- 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4" name="Picture"/>
            <a:graphic>
              <a:graphicData uri="http://schemas.openxmlformats.org/drawingml/2006/picture">
                <pic:pic>
                  <pic:nvPicPr>
                    <pic:cNvPr descr="/work/ba1066/a270064/cc_projects/aabw_5exps/nc_paper/SUBMISSION/letter_figs/figR9_ross_sector.png" id="35" name="Picture"/>
                    <pic:cNvPicPr>
                      <a:picLocks noChangeArrowheads="1" noChangeAspect="1"/>
                    </pic:cNvPicPr>
                  </pic:nvPicPr>
                  <pic:blipFill>
                    <a:blip r:embed="rId33"/>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rPr>
          <w:color w:val="0000CC"/>
          <w:iCs/>
          <w:i/>
          <w:bCs/>
          <w:b/>
        </w:rPr>
        <w:t xml:space="preserve">14. Line 167: It would be helpful to quantify the thermal contribution, similar to the quantification provided for the haline contribution in line 157. –- 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37.0 kg m-3),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rPr>
          <w:color w:val="0000CC"/>
          <w:iCs/>
          <w:i/>
          <w:bCs/>
          <w:b/>
        </w:rPr>
        <w:t xml:space="preserve">15. Fig. 2 Would it be possible to share a figure with the same y-axis limits for all panels? –- 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7" name="Picture"/>
            <a:graphic>
              <a:graphicData uri="http://schemas.openxmlformats.org/drawingml/2006/picture">
                <pic:pic>
                  <pic:nvPicPr>
                    <pic:cNvPr descr="/work/ba1066/a270064/cc_projects/aabw_5exps/nc_paper/SUBMISSION/letter_figs/figS_common_axis-1.png" id="38" name="Picture"/>
                    <pic:cNvPicPr>
                      <a:picLocks noChangeArrowheads="1" noChangeAspect="1"/>
                    </pic:cNvPicPr>
                  </pic:nvPicPr>
                  <pic:blipFill>
                    <a:blip r:embed="rId36"/>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color w:val="0000CC"/>
          <w:iCs/>
          <w:i/>
          <w:bCs/>
          <w:b/>
        </w:rPr>
        <w:t xml:space="preserve">16. Line 174: "Section 4?" If this is intended to refer to the Methods section. –- Corrected to refer to the Methods section by name.</w:t>
      </w:r>
    </w:p>
    <w:p>
      <w:pPr>
        <w:pStyle w:val="BodyText"/>
      </w:pPr>
      <w:r>
        <w:rPr>
          <w:color w:val="0000CC"/>
          <w:iCs/>
          <w:i/>
          <w:bCs/>
          <w:b/>
        </w:rPr>
        <w:t xml:space="preserve">17. Fig.3 Please consider adding the climate-state labels at the top of each column, as in the other figures. –- Added, here and on the other multi-panel figures; Reviewer 3 made the same request.</w:t>
      </w:r>
    </w:p>
    <w:p>
      <w:pPr>
        <w:pStyle w:val="BodyText"/>
      </w:pPr>
      <w:r>
        <w:rPr>
          <w:color w:val="0000CC"/>
          <w:iCs/>
          <w:i/>
          <w:bCs/>
          <w:b/>
        </w:rPr>
        <w:t xml:space="preserve">18. Line 180/181: The LIG is first described as "showing modest changes", but later as "exhibiting a pronounced increase". These descriptions appear inconsistent. –- The two statements referred to different quantities, which was not clear. The changes are modest in the circumpolar integral and pronounced locally in the Ross Sea sector. The text now says so explicitly.</w:t>
      </w:r>
    </w:p>
    <w:p>
      <w:pPr>
        <w:pStyle w:val="BodyText"/>
      </w:pPr>
      <w:r>
        <w:rPr>
          <w:color w:val="0000CC"/>
          <w:iCs/>
          <w:i/>
          <w:bCs/>
          <w:b/>
        </w:rPr>
        <w:t xml:space="preserve">19. Could the authors briefly explain what is meant by thermal density tendency and sea-ice-driven density tendency in the methods. –- 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rPr>
          <w:color w:val="0000CC"/>
          <w:iCs/>
          <w:i/>
          <w:bCs/>
          <w:b/>
        </w:rPr>
        <w:t xml:space="preserve">20. Line 209: Please add the appropriate reference(s) here to support this statement. –- We now cite Cerovečki et al. (2013) and Abernathey et al. (2016) in support of the statement that turbulent rather than radiative fluxes control the surface buoyancy budget.</w:t>
      </w:r>
    </w:p>
    <w:p>
      <w:pPr>
        <w:pStyle w:val="BodyText"/>
      </w:pPr>
      <w:r>
        <w:rPr>
          <w:color w:val="0000CC"/>
          <w:iCs/>
          <w:i/>
          <w:bCs/>
          <w:b/>
        </w:rPr>
        <w:t xml:space="preserve">21. Line 216-246: Please refer to the relevant subpanels of Figure A5. –- Done.</w:t>
      </w:r>
    </w:p>
    <w:p>
      <w:pPr>
        <w:pStyle w:val="BodyText"/>
      </w:pPr>
      <w:r>
        <w:rPr>
          <w:color w:val="0000CC"/>
          <w:iCs/>
          <w:i/>
          <w:bCs/>
          <w:b/>
        </w:rPr>
        <w:t xml:space="preserve">22. Line 249, 255: The phrase "across at high latitudes" is somewhat unclear. –- Both instances have been rewritten. They now read "over the ice-free parts of the Southern Ocean south of about 50°S" and "south of the ice edge" respectively.</w:t>
      </w:r>
    </w:p>
    <w:p>
      <w:pPr>
        <w:pStyle w:val="BodyText"/>
      </w:pPr>
      <w:r>
        <w:rPr>
          <w:color w:val="0000CC"/>
          <w:iCs/>
          <w:i/>
          <w:bCs/>
          <w:b/>
        </w:rPr>
        <w:t xml:space="preserve">23. Could the authors clarify where the primary deep water formation regions occur in this model? ... relatively little signal is apparent over the Weddell and Ross Seas. –- We have added this diagnosis to the Results, and it is shown in Figure R1.2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rPr>
          <w:color w:val="0000CC"/>
          <w:iCs/>
          <w:i/>
          <w:bCs/>
          <w:b/>
        </w:rPr>
        <w:t xml:space="preserve">24. Lines 261-263: Please consider expanding on the physical mechanism linking positive SAM to freshwater loss and intensified brine rejection. –- 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rPr>
          <w:color w:val="0000CC"/>
          <w:iCs/>
          <w:i/>
          <w:bCs/>
          <w:b/>
        </w:rPr>
        <w:t xml:space="preserve">25. Line 291, 294: Please check citation format. –- Corrected.</w:t>
      </w:r>
    </w:p>
    <w:p>
      <w:pPr>
        <w:pStyle w:val="BodyText"/>
      </w:pPr>
      <w:r>
        <w:rPr>
          <w:color w:val="0000CC"/>
          <w:iCs/>
          <w:i/>
          <w:bCs/>
          <w:b/>
        </w:rPr>
        <w:t xml:space="preserve">26. Line 301: Figure A4 appears to show only model results. Please consider including the observational estimates in the figure (or referring to them directly). –- 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rPr>
          <w:color w:val="0000CC"/>
          <w:iCs/>
          <w:i/>
          <w:bCs/>
          <w:b/>
        </w:rPr>
        <w:t xml:space="preserve">27. Lines 308-321: The discussion quantifies the interglacial changes ... but similar quantification is not provided for the glacial changes. –- Added. The glacial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m-3,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rPr>
          <w:color w:val="0000CC"/>
          <w:iCs/>
          <w:i/>
          <w:bCs/>
          <w:b/>
        </w:rPr>
        <w:t xml:space="preserve">28. Lines 326 appear to repeat the statement made in line 323. In addition, the general statement in lines 323–325 does not appear to hold equally across all climate states. –- 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rPr>
          <w:color w:val="0000CC"/>
          <w:iCs/>
          <w:i/>
          <w:bCs/>
          <w:b/>
        </w:rPr>
        <w:t xml:space="preserve">29. Line 339: Please provide a reference for the sediment-record evidence discussed here. –- 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rPr>
          <w:color w:val="0000CC"/>
          <w:iCs/>
          <w:i/>
          <w:bCs/>
          <w:b/>
        </w:rPr>
        <w:t xml:space="preserve">30. Section 4.1: Please define the full names of the abbreviated components. –- Done. The Methods now spell out that the radiative component is the sum of the shortwave and longwave fluxes and the turbulent component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iCs/>
          <w:i/>
          <w:bCs/>
          <w:b/>
        </w:rPr>
        <w:t xml:space="preserve">31. Line 388: Please check the citation formatting. –- Corrected.</w:t>
      </w:r>
    </w:p>
    <w:p>
      <w:pPr>
        <w:pStyle w:val="BodyText"/>
      </w:pPr>
      <w:r>
        <w:rPr>
          <w:color w:val="0000CC"/>
          <w:iCs/>
          <w:i/>
          <w:bCs/>
          <w:b/>
        </w:rPr>
        <w:t xml:space="preserve">32. Lines 394-403: Please consider including a summary table listing the prescribed boundary conditions for each experiment. –- Added as Table 1; see G2.</w:t>
      </w:r>
    </w:p>
    <w:bookmarkEnd w:id="39"/>
    <w:bookmarkEnd w:id="40"/>
    <w:bookmarkStart w:id="54"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51" w:name="X891f5d8053691682004d97e15dc2ed7ec781fac"/>
    <w:p>
      <w:pPr>
        <w:pStyle w:val="Heading2"/>
      </w:pPr>
      <w:r>
        <w:t xml:space="preserve">Major issue 1: mismatch with observational studies of the modern ocean</w:t>
      </w:r>
    </w:p>
    <w:p>
      <w:pPr>
        <w:pStyle w:val="FirstParagraph"/>
      </w:pPr>
      <w:r>
        <w:t xml:space="preserve">There is a mismatch with observational studies of the modern ocean. In their model the pre-industrial situation is dominated by thermal buoyancy forcing whereas Pellichero et al, (2018) find the opposite ... Shi et al dismiss this difference in a single sentence, saying it is due to "model biases or regional differences in analysis domains".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This is worth showing directly, since the similarity of the two regions is the premise of the reviewer's argument.</w:t>
      </w:r>
    </w:p>
    <w:p>
      <w:pPr>
        <w:pStyle w:val="BodyText"/>
      </w:pPr>
      <w:r>
        <w:drawing>
          <wp:inline>
            <wp:extent cx="5334000" cy="2011679"/>
            <wp:effectExtent b="0" l="0" r="0" t="0"/>
            <wp:docPr descr="" title="" id="42" name="Picture"/>
            <a:graphic>
              <a:graphicData uri="http://schemas.openxmlformats.org/drawingml/2006/picture">
                <pic:pic>
                  <pic:nvPicPr>
                    <pic:cNvPr descr="/work/ba1066/a270064/cc_projects/aabw_5exps/nc_paper/SUBMISSION/letter_figs/figR8_domain_map.png" id="43" name="Picture"/>
                    <pic:cNvPicPr>
                      <a:picLocks noChangeArrowheads="1" noChangeAspect="1"/>
                    </pic:cNvPicPr>
                  </pic:nvPicPr>
                  <pic:blipFill>
                    <a:blip r:embed="rId41"/>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color w:val="0000CC"/>
          <w:bCs/>
          <w:b/>
        </w:rPr>
        <w:t xml:space="preserve">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moves the partition in the direction they report: the thermal share of the dense-class transformation falls from 69% to 61%, and the sea ice contribution at the transformation maximum roughly doubles from 0.86 to 1.84 Sv.</w:t>
      </w:r>
    </w:p>
    <w:p>
      <w:pPr>
        <w:pStyle w:val="BodyText"/>
      </w:pPr>
      <w:r>
        <w:drawing>
          <wp:inline>
            <wp:extent cx="5334000" cy="2185606"/>
            <wp:effectExtent b="0" l="0" r="0" t="0"/>
            <wp:docPr descr="" title="" id="44" name="Picture"/>
            <a:graphic>
              <a:graphicData uri="http://schemas.openxmlformats.org/drawingml/2006/picture">
                <pic:pic>
                  <pic:nvPicPr>
                    <pic:cNvPr descr="/work/ba1066/a270064/cc_projects/aabw_5exps/nc_paper/SUBMISSION/letter_figs/figR1_wmt_domain_sensitivity.png" id="45"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2743199"/>
            <wp:effectExtent b="0" l="0" r="0" t="0"/>
            <wp:docPr descr="" title="" id="46" name="Picture"/>
            <a:graphic>
              <a:graphicData uri="http://schemas.openxmlformats.org/drawingml/2006/picture">
                <pic:pic>
                  <pic:nvPicPr>
                    <pic:cNvPr descr="/work/ba1066/a270064/cc_projects/aabw_5exps/nc_paper/SUBMISSION/letter_figs/figR6_convection_sites.png" id="47"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49" name="Picture"/>
            <a:graphic>
              <a:graphicData uri="http://schemas.openxmlformats.org/drawingml/2006/picture">
                <pic:pic>
                  <pic:nvPicPr>
                    <pic:cNvPr descr="/work/ba1066/a270064/cc_projects/aabw_5exps/nc_paper/SUBMISSION/letter_figs/figR2_moc_5exps.png" id="50" name="Picture"/>
                    <pic:cNvPicPr>
                      <a:picLocks noChangeArrowheads="1" noChangeAspect="1"/>
                    </pic:cNvPicPr>
                  </pic:nvPicPr>
                  <pic:blipFill>
                    <a:blip r:embed="rId48"/>
                    <a:stretch>
                      <a:fillRect/>
                    </a:stretch>
                  </pic:blipFill>
                  <pic:spPr bwMode="auto">
                    <a:xfrm>
                      <a:off x="0" y="0"/>
                      <a:ext cx="5334000" cy="2387599"/>
                    </a:xfrm>
                    <a:prstGeom prst="rect">
                      <a:avLst/>
                    </a:prstGeom>
                    <a:noFill/>
                    <a:ln w="9525">
                      <a:noFill/>
                      <a:headEnd/>
                      <a:tailEnd/>
                    </a:ln>
                  </pic:spPr>
                </pic:pic>
              </a:graphicData>
            </a:graphic>
          </wp:inline>
        </w:drawing>
      </w:r>
    </w:p>
    <w:bookmarkEnd w:id="51"/>
    <w:bookmarkStart w:id="52" w:name="Xc41510562e6e7cb226420a3c90ef797e66d11a3"/>
    <w:p>
      <w:pPr>
        <w:pStyle w:val="Heading2"/>
      </w:pPr>
      <w:r>
        <w:t xml:space="preserve">Major issue 2: relation to Chen et al. (2025)</w:t>
      </w:r>
    </w:p>
    <w:p>
      <w:pPr>
        <w:pStyle w:val="FirstParagraph"/>
      </w:pPr>
      <w:r>
        <w:t xml:space="preserve">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52"/>
    <w:bookmarkStart w:id="53"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 (Another paper they don't cite is Lhardy, Climate of the Past, 17, 1139–1159, 2021 ...)</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 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53"/>
    <w:bookmarkEnd w:id="54"/>
    <w:bookmarkStart w:id="72"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70" w:name="Xf54f6ddc50d258ac2d49da225012d0af905f741"/>
    <w:p>
      <w:pPr>
        <w:pStyle w:val="Heading2"/>
      </w:pPr>
      <w:r>
        <w:t xml:space="preserve">Main issue: the PI state does not form AABW the way the real ocean does</w:t>
      </w:r>
    </w:p>
    <w:p>
      <w:pPr>
        <w:pStyle w:val="FirstParagraph"/>
      </w:pPr>
      <w:r>
        <w:t xml:space="preserve">...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2743199"/>
            <wp:effectExtent b="0" l="0" r="0" t="0"/>
            <wp:docPr descr="" title="" id="55" name="Picture"/>
            <a:graphic>
              <a:graphicData uri="http://schemas.openxmlformats.org/drawingml/2006/picture">
                <pic:pic>
                  <pic:nvPicPr>
                    <pic:cNvPr descr="/work/ba1066/a270064/cc_projects/aabw_5exps/nc_paper/SUBMISSION/letter_figs/figR6_convection_sites.png" id="5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57" name="Picture"/>
            <a:graphic>
              <a:graphicData uri="http://schemas.openxmlformats.org/drawingml/2006/picture">
                <pic:pic>
                  <pic:nvPicPr>
                    <pic:cNvPr descr="/work/ba1066/a270064/cc_projects/aabw_5exps/nc_paper/SUBMISSION/letter_figs/figR1_wmt_domain_sensitivity.png" id="58"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how applicable is this result to thinking about the real ocean and glacial interglacial change when the interglacial regime is not representative of the real preindustrial/interglacial ocean? ... Given coastal polynyas are a key process in how AABW forms today are we just looking at a shift from a more biased PI state to a more realistic glacial state?</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w:t>
      </w:r>
      <w:r>
        <w:t xml:space="preserve"> </w:t>
      </w:r>
      <w:r>
        <w:rPr>
          <w:vertAlign w:val="subscript"/>
        </w:rPr>
        <w:t xml:space="preserve">n</w:t>
      </w:r>
      <w:r>
        <w:t xml:space="preserve"> </w:t>
      </w:r>
      <w:r>
        <w:t xml:space="preserve">27.3 kg m-3, whereas the haline-dominated lower cell they describe occupies</w:t>
      </w:r>
      <w:r>
        <w:t xml:space="preserve"> </w:t>
      </w:r>
      <w:r>
        <w:rPr>
          <w:vertAlign w:val="subscript"/>
        </w:rPr>
        <w:t xml:space="preserve">n</w:t>
      </w:r>
      <w:r>
        <w:t xml:space="preserve"> </w:t>
      </w:r>
      <w:r>
        <w:t xml:space="preserve">= 27.9-28.8 kg m-3. Our surface transformation barely reaches the lighter edge of that range. In the densest classes our fluxes do populate (</w:t>
      </w:r>
      <w:r>
        <w:rPr>
          <w:vertAlign w:val="subscript"/>
        </w:rPr>
        <w:t xml:space="preserve">2</w:t>
      </w:r>
      <w:r>
        <w:t xml:space="preserve"> </w:t>
      </w:r>
      <w:r>
        <w:t xml:space="preserve">37.0 kg m-3),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 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0" name="Picture"/>
            <a:graphic>
              <a:graphicData uri="http://schemas.openxmlformats.org/drawingml/2006/picture">
                <pic:pic>
                  <pic:nvPicPr>
                    <pic:cNvPr descr="/work/ba1066/a270064/cc_projects/aabw_5exps/nc_paper/SUBMISSION/letter_figs/figR4_sam_push_pull.png" id="61" name="Picture"/>
                    <pic:cNvPicPr>
                      <a:picLocks noChangeArrowheads="1" noChangeAspect="1"/>
                    </pic:cNvPicPr>
                  </pic:nvPicPr>
                  <pic:blipFill>
                    <a:blip r:embed="rId59"/>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63" name="Picture"/>
            <a:graphic>
              <a:graphicData uri="http://schemas.openxmlformats.org/drawingml/2006/picture">
                <pic:pic>
                  <pic:nvPicPr>
                    <pic:cNvPr descr="/work/ba1066/a270064/cc_projects/aabw_5exps/nc_paper/SUBMISSION/letter_figs/figR5_sam_wind_ice.png" id="64" name="Picture"/>
                    <pic:cNvPicPr>
                      <a:picLocks noChangeArrowheads="1" noChangeAspect="1"/>
                    </pic:cNvPicPr>
                  </pic:nvPicPr>
                  <pic:blipFill>
                    <a:blip r:embed="rId62"/>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The Methods now state:</w:t>
      </w:r>
    </w:p>
    <w:p>
      <w:pPr>
        <w:pStyle w:val="BodyText"/>
      </w:pPr>
      <w:r>
        <w:t xml:space="preserve">"Residual drift over the analysis period is small relative to the paleoclimate signals of interest. The trend in global mean 2 m temperature across the final century is +0.02 K century-1 for PI, -0.03 for MH, -0.06 for LIG, +0.04 for LGM and +0.10 for MIS3. The last two values exceed the 0.05 K century-1 criterion applied in earlier work with this model , and we note this explicitly rather than leaving it implicit.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 The authors mention that they use ideal age as a proxy for overturning which seems odd given the overturning can be directly computed within the model. ... Plots of both overturning streamfunction and ideal age throughout the global ocean would be required ... Furthermore the methods mention that the simulations have been run for 1000yr which is enough to equilibrate physical properties but not ideal ages globally.</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65" name="Picture"/>
            <a:graphic>
              <a:graphicData uri="http://schemas.openxmlformats.org/drawingml/2006/picture">
                <pic:pic>
                  <pic:nvPicPr>
                    <pic:cNvPr descr="/work/ba1066/a270064/cc_projects/aabw_5exps/nc_paper/SUBMISSION/letter_figs/figR2_moc_5exps.png" id="66" name="Picture"/>
                    <pic:cNvPicPr>
                      <a:picLocks noChangeArrowheads="1" noChangeAspect="1"/>
                    </pic:cNvPicPr>
                  </pic:nvPicPr>
                  <pic:blipFill>
                    <a:blip r:embed="rId48"/>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68" name="Picture"/>
            <a:graphic>
              <a:graphicData uri="http://schemas.openxmlformats.org/drawingml/2006/picture">
                <pic:pic>
                  <pic:nvPicPr>
                    <pic:cNvPr descr="/work/ba1066/a270064/cc_projects/aabw_5exps/nc_paper/SUBMISSION/letter_figs/figR3_age_global.png" id="69" name="Picture"/>
                    <pic:cNvPicPr>
                      <a:picLocks noChangeArrowheads="1" noChangeAspect="1"/>
                    </pic:cNvPicPr>
                  </pic:nvPicPr>
                  <pic:blipFill>
                    <a:blip r:embed="rId67"/>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70"/>
    <w:bookmarkStart w:id="71"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ocean. –- Added to the abstract, which now reads "In the model, interglacial dense water formation</w:t>
      </w:r>
    </w:p>
    <w:p>
      <w:pPr>
        <w:pStyle w:val="BodyText"/>
      </w:pPr>
      <w:r>
        <w:rPr>
          <w:color w:val="0000CC"/>
          <w:bCs/>
          <w:b/>
        </w:rPr>
        <w:t xml:space="preserve">is driven mainly by turbulent heat loss...". The same qualification has been added in the Results.</w:t>
      </w:r>
    </w:p>
    <w:p>
      <w:pPr>
        <w:pStyle w:val="BodyText"/>
      </w:pPr>
      <w:r>
        <w:t xml:space="preserve">L25: change deep from "clear imprint on deep-ocean ventilation" to abyssal Southern Ocean. ... The deep ocean is usually considered as all the water below 1000 m. –- The abstract now refers to the</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 –- Expanded; see Reviewer 1,</w:t>
      </w:r>
    </w:p>
    <w:p>
      <w:pPr>
        <w:pStyle w:val="BodyText"/>
      </w:pPr>
      <w:r>
        <w:rPr>
          <w:color w:val="0000CC"/>
          <w:bCs/>
          <w:b/>
        </w:rPr>
        <w:t xml:space="preserve">comment 5.</w:t>
      </w:r>
    </w:p>
    <w:p>
      <w:pPr>
        <w:pStyle w:val="BodyText"/>
      </w:pPr>
      <w:r>
        <w:t xml:space="preserve">L 125: typo, more. –- Corrected. L129: it would be much more useful to show the salinity minus the whole ocean change applied, to see what arises from local dynamics. –- This is a good suggestion. The glacial salinity anomalies</w:t>
      </w:r>
    </w:p>
    <w:p>
      <w:pPr>
        <w:pStyle w:val="BodyText"/>
      </w:pPr>
      <w:r>
        <w:rPr>
          <w:color w:val="0000CC"/>
          <w:bCs/>
          <w:b/>
        </w:rPr>
        <w:t xml:space="preserve">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 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 Answered above.</w:t>
      </w:r>
    </w:p>
    <w:p>
      <w:pPr>
        <w:pStyle w:val="BodyText"/>
      </w:pPr>
      <w:r>
        <w:t xml:space="preserve">L152: it needs to be clearer that this is in the model. –- Rephrased to "the model produces deep</w:t>
      </w:r>
    </w:p>
    <w:p>
      <w:pPr>
        <w:pStyle w:val="BodyText"/>
      </w:pPr>
      <w:r>
        <w:rPr>
          <w:color w:val="0000CC"/>
          <w:bCs/>
          <w:b/>
        </w:rPr>
        <w:t xml:space="preserve">mixed layers...".</w:t>
      </w:r>
    </w:p>
    <w:p>
      <w:pPr>
        <w:pStyle w:val="BodyText"/>
      </w:pPr>
      <w:r>
        <w:t xml:space="preserve">L175: I wonder if this result isn't more applicable to AAIW/SAMW formation? –- The reviewer's</w:t>
      </w:r>
    </w:p>
    <w:p>
      <w:pPr>
        <w:pStyle w:val="BodyText"/>
      </w:pPr>
      <w:r>
        <w:rPr>
          <w:color w:val="0000CC"/>
          <w:bCs/>
          <w:b/>
        </w:rPr>
        <w:t xml:space="preserve">intuition is borne out by the density-class analysis described above. Our thermally dominated transformation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 –- Added, with</w:t>
      </w:r>
    </w:p>
    <w:p>
      <w:pPr>
        <w:pStyle w:val="BodyText"/>
      </w:pPr>
      <w:r>
        <w:rPr>
          <w:color w:val="0000CC"/>
          <w:bCs/>
          <w:b/>
        </w:rPr>
        <w:t xml:space="preserve">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 L206-209: should be moved to the introduction maybe? –- Moved. L291-297: this point seems fundamental to the rest of the manuscript. –- Agreed; addressed at</w:t>
      </w:r>
    </w:p>
    <w:p>
      <w:pPr>
        <w:pStyle w:val="BodyText"/>
      </w:pPr>
      <w:r>
        <w:rPr>
          <w:color w:val="0000CC"/>
          <w:bCs/>
          <w:b/>
        </w:rPr>
        <w:t xml:space="preserve">length above.</w:t>
      </w:r>
    </w:p>
    <w:p>
      <w:pPr>
        <w:pStyle w:val="BodyText"/>
      </w:pPr>
      <w:r>
        <w:t xml:space="preserve">L302-305: can't you just compare you model results directly in the regions with observations? –-</w:t>
      </w:r>
    </w:p>
    <w:p>
      <w:pPr>
        <w:pStyle w:val="BodyText"/>
      </w:pPr>
      <w:r>
        <w:rPr>
          <w:color w:val="0000CC"/>
          <w:bCs/>
          <w:b/>
        </w:rPr>
        <w:t xml:space="preserve">Done; see above and Fig. 8.</w:t>
      </w:r>
    </w:p>
    <w:p>
      <w:pPr>
        <w:pStyle w:val="BodyText"/>
      </w:pPr>
      <w:r>
        <w:t xml:space="preserve">L339: this would be great, but sed rates around the Antarctic margin are very low. –- Agreed, and</w:t>
      </w:r>
    </w:p>
    <w:p>
      <w:pPr>
        <w:pStyle w:val="BodyText"/>
      </w:pPr>
      <w:r>
        <w:rPr>
          <w:color w:val="0000CC"/>
          <w:bCs/>
          <w:b/>
        </w:rPr>
        <w:t xml:space="preserve">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 Corrected. The text now refers to the radiocarbon age of dissolved inorganic carbon. General comment on the figures: would it be possible to show whats happening under the ice shelves? At the moment they are just whited out. Anyway to show this? –- Unfortunately not. The</w:t>
      </w:r>
    </w:p>
    <w:p>
      <w:pPr>
        <w:pStyle w:val="BodyText"/>
      </w:pPr>
      <w:r>
        <w:rPr>
          <w:color w:val="0000CC"/>
          <w:bCs/>
          <w:b/>
        </w:rPr>
        <w:t xml:space="preserve">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 –- Done</w:t>
      </w:r>
    </w:p>
    <w:p>
      <w:pPr>
        <w:pStyle w:val="BodyText"/>
      </w:pPr>
      <w:r>
        <w:rPr>
          <w:color w:val="0000CC"/>
          <w:bCs/>
          <w:b/>
        </w:rPr>
        <w:t xml:space="preserve">throughout; Reviewer 1 made the same request.</w:t>
      </w:r>
    </w:p>
    <w:bookmarkEnd w:id="71"/>
    <w:bookmarkEnd w:id="72"/>
    <w:bookmarkStart w:id="73"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73"/>
    <w:bookmarkStart w:id="74"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67" Target="media/rId6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2026-09-21T13:31:05Z</dcterms:created>
  <dcterms:modified xsi:type="dcterms:W3CDTF">2026-09-21T13:31:05Z</dcterms:modified>
</cp:coreProperties>
</file>

<file path=docProps/custom.xml><?xml version="1.0" encoding="utf-8"?>
<Properties xmlns="http://schemas.openxmlformats.org/officeDocument/2006/custom-properties" xmlns:vt="http://schemas.openxmlformats.org/officeDocument/2006/docPropsVTypes"/>
</file>